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8C_120/2015 vom 7. Januar 2016</w:t>
      </w:r>
    </w:p>
    <w:p>
      <w:r>
        <w:t>Bundesgericht, 2016-01-07, DE</w:t>
      </w:r>
    </w:p>
    <w:p>
      <w:r>
        <w:rPr>
          <w:b/>
        </w:rPr>
        <w:t xml:space="preserve">Quelle: </w:t>
      </w:r>
      <w:r>
        <w:t>https://mcp.opencaselaw.ch/entscheid/bger_8C_120_2015</w:t>
      </w:r>
    </w:p>
    <w:p>
      <w:r>
        <w:t>FR: TF 8C_120/2015 du 7 janvier 2016</w:t>
      </w:r>
    </w:p>
    <w:p>
      <w:r>
        <w:t>IT: TF 8C_120/2015 del 7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3.3</w:t>
      </w:r>
    </w:p>
    <w:p>
      <w:r>
        <w:t>Streitig und zu prüfen ist, ob die Vorinstanz Bundesrecht verletzte, als sie die Aufhebung der halben Rente der Versicherten auf den zweiten der Zustellung der Verfügung vom 7. Januar 2013 folgenden Monats bestätigte.</w:t>
      </w:r>
    </w:p>
    <w:p>
      <w:r>
        <w:rPr>
          <w:b/>
        </w:rPr>
        <w:t>E. 4.1</w:t>
      </w:r>
    </w:p>
    <w:p>
      <w:r>
        <w:t>Das kantonale Gericht hat für das Bundesgericht grundsätzlich verbindlich festgestellt, dass sich der Gesundheitszustand der Versicherten seit Erlass der Verfügung vom 9. März 2004 jedenfalls in psychischer Hinsicht erheblich verbessert hat. Was die Beschwerdeführerin gegen diese Feststellung vorbringt, vermag sie nicht als bundesrechtswidrig erscheinen zu lassen: Bei der Verfügung vom 9. März 2004 handelte es sich um die letzte Verfügung vor jener vom 7. Januar 2013, die auf einer rechtskonformen Sachverhaltsabklärung, Beweiswürdigung und Durchführung eines Einkommensvergleichs beruhte. Somit bildet diese Verfügung die Vergleichsbasis zur Beantwortung der Frage, ob eine wesentliche Änderung des erheblichen Sachverhaltes eingetreten ist. Da in dieser Verfügung die im Vergleich zur Verfügung vom 16. Dezember 2002 erhöhte Einschränkung im Erwerbsbereich auch mit der Verschlechterung der psychischen Verfassung der Versicherten begründet wurde, ist entgegen den Ausführungen der Beschwerdeführerin davon auszugehen, das psychische Leiden habe im Jahr 2004 einen erheblichen Einfluss auf die Rentenhöhe gehabt.</w:t>
      </w:r>
    </w:p>
    <w:p>
      <w:r>
        <w:rPr>
          <w:b/>
        </w:rPr>
        <w:t>E. 4.2</w:t>
      </w:r>
    </w:p>
    <w:p>
      <w:r>
        <w:t>Unbestritten ist, dass die Beschwerdeführerin im Zeitpunkt der Revisionsverfügung vom 7. Januar 2013 medizinisch-theoretisch in der Lage war, einer angepassten Tätigkeit zu 50 % nachzugehen. Weshalb diese medizinisch-theoretische Arbeitsfähigkeit auf dem Arbeitsmarkt nicht verwertbar wäre, wird von der Versicherten nicht näher begründet und ist nicht nachvollziehbar.</w:t>
      </w:r>
    </w:p>
    <w:p>
      <w:r>
        <w:rPr>
          <w:b/>
        </w:rPr>
        <w:t>E. 4.3</w:t>
      </w:r>
    </w:p>
    <w:p>
      <w:r>
        <w:t>Ebenfalls nicht bestritten wird der sog. Status der Versicherten, mithin dass sie als Gesunde zu 60 % im Haushalt und zu 40 % erwerblich tätig wäre. Entgegen ihren Ausführungen entspricht es der Rechtsprechung, bei diesem Status und einer 50 %-igen medizinisch-theoretischen Arbeitsfähigkeit eine Einschränkung im Erwerbsbereich in zeitlicher Hinsicht zu verneinen. Der von der Vorinstanz vorgenommene Prozentvergleich zur Festsetzung der Gesamteinschränkung im Erwerbsbereich erweist sich demnach als grundsätzlich bundesrechtskonform.</w:t>
      </w:r>
    </w:p>
    <w:p>
      <w:r>
        <w:rPr>
          <w:b/>
        </w:rPr>
        <w:t>E. 4.4</w:t>
      </w:r>
    </w:p>
    <w:p>
      <w:r>
        <w:t>Soweit die Beschwerdeführerin sinngemäss geltend macht, es sei nicht ein Prozentvergleich durchzuführen, sondern ein Valideneinkommen ausgehend von jenem der Verfügung vom 16. Dezember 2002 in der Höhe von Fr. 80'000.- zu ermitteln, ist Folgendes festzuhalten: Wie die Vorinstanz willkürfrei festgestellt hat, war das Einkommen der Versicherten vor Eintritt des Gesundheitsschadens stark schwankend. Ausweislich des Auszuges aus dem Individuellen Konto der AHV erzielte sie in keinem Jahr ein Einkommen von über Fr. 50'000.-. Das von der IV-Stelle in der Verfügung vom 16. Dezember 2002 angenommene Valideneinkommen von Fr. 80'000.- für das Jahr 2001 ist vor diesem Hintergrund nicht nachvollziehbar und kann somit nicht Grundlage eines Einkommensvergleiches bilden.</w:t>
      </w:r>
    </w:p>
    <w:p>
      <w:r>
        <w:rPr>
          <w:b/>
        </w:rPr>
        <w:t>E. 4.5</w:t>
      </w:r>
    </w:p>
    <w:p>
      <w:r>
        <w:t>Hat das kantonale Gericht somit kein Bundesrecht verletzt, als es von einem gewichteten Teilinvaliditätsgrad von 2,4 % im Erwerbsbereich ausging, so durfte es ohne weiteres offenlassen, ob im Haushaltsbereich ein solcher von 13,11 % oder von 30 % besteht. Die Beschwerde der Versicherten ist demnach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