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8C_120/2011 vom 23. Mai 2011</w:t>
      </w:r>
    </w:p>
    <w:p>
      <w:r>
        <w:t>Bundesgericht, 2011-05-23, DE</w:t>
      </w:r>
    </w:p>
    <w:p>
      <w:r>
        <w:rPr>
          <w:b/>
        </w:rPr>
        <w:t xml:space="preserve">Quelle: </w:t>
      </w:r>
      <w:r>
        <w:t>https://mcp.opencaselaw.ch/entscheid/bger_8C_120_2011</w:t>
      </w:r>
    </w:p>
    <w:p>
      <w:r>
        <w:t>FR: TF 8C_120/2011 du 23 mai 2011</w:t>
      </w:r>
    </w:p>
    <w:p>
      <w:r>
        <w:t>IT: TF 8C_120/2011 del 23 maggio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Was die vom Beschwerdeführer letztinstanzlich neu eingereichten Belege betrifft, gilt festzustellen, dass neue Tatsachen und Beweismittel im bundesgerichtlichen Beschwerdeverfahren - auch im Rahmen von Art. 105 Abs. 3 BGG (vgl. E. 1.1) - nur so weit vorgebracht werden dürfen, als erst der Entscheid der Vorinstanz dazu Anlass gibt ( Art. 99 Abs. 1 BGG ; BGE 135 V 194 E. 2 f. S. 196 ff.). Letzteres ist von der ein Novum einbringenden Partei näher darzulegen (Urteil 8C_684/2009 vom 23. April 2010 E. 2 mit Hinweisen). Dies hat der Beschwerdeführer jedoch nicht getan hat. Die neu beigebrachten Akten sind mithin schon aus diesem Grund als Beweismittel unzulässig und müssen vor Bundesgericht unbeachtet bleiben.</w:t>
      </w:r>
    </w:p>
    <w:p>
      <w:r>
        <w:rPr>
          <w:b/>
        </w:rPr>
        <w:t>E. 3</w:t>
      </w:r>
    </w:p>
    <w:p>
      <w:r>
        <w:t>In formeller Hinsicht rügt der Beschwerdeführer, das kantonale Gericht habe den Anspruch auf rechtliches Gehör verletzt, indem es den Einspracheentscheid der SUVA zufolge unzureichender Begründung nicht bereits aus formellen Gründen aufgehoben habe.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127 V 431 E. 3d/aa S. 437 f.; Urteil U 145 /06 vom 31. August 2007 E. 5.1. mit Hinweis).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 Selbst wenn, entgegen der Vorinstanz, in der dürftigen Begründung des Einspracheentscheids, die sich überdies, wie zu Recht bemängelt wird, mit der Stellungnahme des Beschwerdeführers zum Gutachten des Spitals X.________ mit keinem Wort auseinandersetzt, eine Verletzung des rechtlichen Gehörs gesehen werden kann, muss diese als geheilt betrachtet werden, da das kantonale Gericht sowohl den Sachverhalt wie auch die Rechtslage frei würdigen konnte und eine Rückweisung zu einer unnötigen Verzögerung geführt hätte, zumal der Antrag des Beschwerdeführers diesbezüglich unklar war.</w:t>
      </w:r>
    </w:p>
    <w:p>
      <w:r>
        <w:rPr>
          <w:b/>
        </w:rPr>
        <w:t>E. 4</w:t>
      </w:r>
    </w:p>
    <w:p>
      <w:r>
        <w:t>In materieller Hinsicht ist unbestritten, dass der Beschwerdeführer Anspruch auf eine Invalidenrente und eine Integritätsentschädigung der obligatorischen Unfallversicherung für die verbleibende Beeinträchtigung hat. Streitig und zu prüfen bleibt, ob die der Rente und der Integritätsentschädigung zugrunde zu legende Erwerbsunfähigkeit und Integritätseinbusse höher anzusetzen sind als dies der Unfallversicherer getan und das kantonale Gericht bestätigt hat. Die für die Beurteilung der Streitsache massgebenden Rechtsgrundlagen sind im angefochtenen Entscheid zutreffend wiedergegeben. Darauf wird verwiesen.</w:t>
      </w:r>
    </w:p>
    <w:p>
      <w:r>
        <w:rPr>
          <w:b/>
        </w:rPr>
        <w:t>E. 5.1.1</w:t>
      </w:r>
    </w:p>
    <w:p>
      <w:r>
        <w:t>Nach umfassender Würdigung der medizinischen Akten ist die Vorinstanz im angefochtenen Entscheid zum Schluss gelangt, dass aufgrund der Schulterbeschwerden links sowie der Kniegelenksbeschwerden rechts eine 100%ige Arbeitsfähigkeit in angepasster, körperlich leichter Tätigkeit mit Wechselbelastung ohne Heben schwerer Lasten, ohne längeres Gehen und Stehen, ohne Treppensteigen unter zusätzlicher Last, ohne kniende Tätigkeiten und ohne Überkopfarbeit mit dem linken Arm anzunehmen ist. Sie stützte sich dabei auf das Gutachten des Spitals X.________ vom 2. Februar 2009, dem sie vollen Beweiswert zuerkannte. Dies ist nicht zu beanstanden, erfüllt diese Expertise doch mit der Vorinstanz alle rechtsprechungsgemässen Kriterien für eine beweiskräftige ärztliche Entscheidungsgrundlage ( BGE 125 V 351 E. 3 S. 352 ff. mit Hinweisen). Überdies stimmt sie sowohl in Bezug auf das Zumutbarkeitsprofil wie auch hinsichtlich der Frage der Unfallkausalität der Rückenbeschwerden mit den medizinischen Beurteilungen der SUVA-Ärzte Dr. med. P.________ und Dr. med. W.________ überein. Wenn die Vorinstanz in diesem Zusammenhang der abweichenden Meinung des behandelnden Chiropraktors Dr. med. T.________, wonach die Rückenbeschwerden im Sinne einer kompensatorischen Überbelastung indirekt unfallbedingt sind, u.a. mit dem Hinweis auf das auftragsrechtliche Vertrauensverhältnis weniger Beweiskraft beimass, ist dies insofern nicht zu beanstanden ( BGE 135 V 465 E. 4.5 S. 470; 125 V 351 E. 3b S. 353), als dessen Auffassung, die im Gutachten berücksichtigt wurde, keine Zweifel an der Zuverlässigkeit und Schlüssigkeit der überzeugenden Expertise zu begründen vermag. Auch die Gutachter schliessen einen Kausalzusammenhang zwischen den geltend gemachten Schmerzen im Bereich des ISG durch eine Fehlbelastung oder Fehlhaltung und dem Unfallereignis nicht ohne weiteres aus, beurteilen ihn allerdings lediglich als möglich.</w:t>
      </w:r>
    </w:p>
    <w:p>
      <w:r>
        <w:rPr>
          <w:b/>
        </w:rPr>
        <w:t>E. 5.1.2</w:t>
      </w:r>
    </w:p>
    <w:p>
      <w:r>
        <w:t>Die Einwendungen des Beschwerdeführers, welche mehrheitlich bereits im angefochtenen Entscheid zutreffend entkräftet wurden, vermögen nicht zu einer anderen Beurteilung zu führen. Insbesondere ergibt sich aus dem Gutachten keine generelle zeitliche Einschränkung für sitzende Tätigkeiten. Vielmehr wurde lediglich im Zusammenhang mit der als mittelschwer qualifizierten früheren Tätigkeit als Taxifahrer nach 45 bis 60 Minuten eine Pause von 15 bis 30 Minuten als notwendig erachtet. Für leichte körperliche Tätigkeiten wurde keine solche Einschränkung angegeben. Aus der Aussage der Gutachter, wonach es im Rahmen der beginnenden Gonarthrose beidseits durch eine dauerhaft sitzende Tätigkeit zu Schmerzen im Bereich der Kniegelenke kommen könne, kann nichts Gegenteiliges abgeleitet werden. Diese bezieht sich ebenfalls auf die Tätigkeit als Taxifahrer. Mit der Vorinstanz ist es demgegenüber in vielen sitzenden Tätigkeiten ohne weiters möglich, kurz aufzustehen, ohne dass dafür zwingend eine eigentliche Pause mit Arbeitsniederlegung erforderlich wäre. Inwiefern die im Gutachten als Beispiel für leichte körperliche Arbeiten angeführte Bürotätigkeit durch die aufgezeigten Einschränkungen nicht mehr ausgeführt werden können, wird vom Beschwerdeführer nicht weiter begründet. Wenn er geltend macht, dass für ihn kaum geeignete Stelle angeboten werden, stellt er die effektive Verwertbarkeit der Restarbeitsfähigkeit in Frage. Diese ist allerdings nicht massgebend, da bei der Invaliditätsbemessung nicht der effektive, sondern der hypothetische ausgeglichene Arbeitsmarkt Referenzpunkt bildet.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 Mit Blick darauf ist davon auszugehen, dass der Beschwerdeführer eine entsprechende Stelle finden könnte. Von weiteren Abklärungen sind keine neuen Erkenntnisse zu erwarten, weshalb auch im vorliegenden Verfahren davon abzusehen ist (antizipierte Beweiswürdigung; BGE 124 V 90 E. 4b S. 94).</w:t>
      </w:r>
    </w:p>
    <w:p>
      <w:r>
        <w:rPr>
          <w:b/>
        </w:rPr>
        <w:t>E. 5.2</w:t>
      </w:r>
    </w:p>
    <w:p>
      <w:r>
        <w:t>Was die zu Recht nach der allgemeinen Methode des Einkommensvergleichs vorgenommene Invaliditätsbemessung betrifft, hat die Vorinstanz das Invalideneinkommen anhand der LSE-Tabellenlöhne (nach der vom Bundesamt für Statistik alle zwei Jahre herausgegebenen Lohnstrukturerhebung) festgesetzt, nachdem sie zu Recht erkannte, dass die Unterlagen der SUVA die geforderten qualitativen Anforderungen an den Beizug der DAP-Löhne nicht erfüllen. Dies ist nicht zu beanstanden (vgl. BGE 129 V 472 E. 4.2.2 S. 481). Sie ist vom monatlichen Bruttolohn für Arbeitnehmer bei einfachen und repetitiven Tätigkeiten (Anforderungsniveau 4) im Jahre 2006 von Fr. 4'732.- ausgegangen und hat unter Berücksichtigung der betriebsüblichen wöchentlichen Arbeitszeit von 41,7 Stunden ein Jahreseinkommen für das Jahr 2007 von Fr. 59'197.30 errechnet. Unter Gewährung eines leidensbedingten Abzugs von 10 % vom Tabellenlohn ist sie zu einem Invalideneinkommen von Fr. 53'277.60 gelangt. In Gegenüberstellung mit dem unbestrittenen Valideneinkommen im Jahre 2007 von Fr. 70'800.- hat sie bei einer Erwerbseinbusse von Fr. 17'522.40 einen Invaliditätsgrad von gerundet 25 % errechnet. Dies ist nicht zu beanstanden. Der Einwand der Beschwerdegegnerin, bei der LSE-gestützten Ermittlung des Invalidenlohnes habe die Vorinstanz die Nominallohnentwicklung 2007 von 1,6 % zu Unrecht nicht berücksichtigt, ändert nichts. Gemäss Verfügung der SUVA vom 21. Dezember 2006 betrug das Valideneinkommen 2006 ebenfalls Fr. 78'000.- im Jahr, womit die Gegenüberstellung mit dem Invalideneinkommen 2006 zu keinem andern Ergebnis führt. Der Beschwerdeführer beanstandet einzig den Abzug vom Tabellenlohn von 10 % als willkürlich und verlangt den Maximalabzug von 25 %. Die Vorinstanz hat den gewährten Abzug von 10 % mit der funktionellen Einschränkung (nur noch angepasste, körperlich leichte, wechselbelastende Tätigkeiten) begründet. Weitere einkommensbeeinflussende Merkmale (Alter, Dienstjahre, Nationalität/Aufenthaltskategorie und Beschäftigungsgrad) sind nicht ausgewiesen ( BGE 129 V 472 E. 4.2.3 S. 481). Die Frage nach der Höhe eines grundsätzlich angezeigten Abzuges vom Tabellenlohn ist eine Ermessensfrage. Da dem Bundesgericht eine Angemessenheitskontrolle verwehrt ist ( BGE 132 V 393 E. 3.3 S. 399; SVR 2009 UV Nr. 58 S. 206, 8C_256/2009 E. 2.2.1) und vorliegend weder ein Ermessensmissbrauch, noch eine Ermessensüber- oder -unterschreitung ersichtlich ist, muss es beim 10%igen Abzug sein Bewenden haben. Die Invalidenrente von 25 % ist somit zu bestätigen.</w:t>
      </w:r>
    </w:p>
    <w:p>
      <w:r>
        <w:rPr>
          <w:b/>
        </w:rPr>
        <w:t>E. 6</w:t>
      </w:r>
    </w:p>
    <w:p>
      <w:r>
        <w:t>Was schliesslich die gerügte Integritätsentschädigung von 25 % betrifft, gilt festzustellen, dass der vom Beschwerdeführer geltend gemachte Rückenschaden entsprechend dem schlüssigen Gutachten nicht unfallkausal ist. Mithin besteht kein Grund, von diesem Wert, der im Rahmen der Begutachtung nachvollziehbar festgelegt wurde, abzuweichen.</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