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8C_11/2024 vom 11. Januar 2024</w:t>
      </w:r>
    </w:p>
    <w:p>
      <w:r>
        <w:t>Bundesgericht, 2024-01-11, DE</w:t>
      </w:r>
    </w:p>
    <w:p>
      <w:r>
        <w:rPr>
          <w:b/>
        </w:rPr>
        <w:t xml:space="preserve">Quelle: </w:t>
      </w:r>
      <w:r>
        <w:t>https://mcp.opencaselaw.ch/entscheid/bger_8C_11_2024</w:t>
      </w:r>
    </w:p>
    <w:p>
      <w:r>
        <w:t>FR: TF 8C_11/2024 du 11 janvier 2024</w:t>
      </w:r>
    </w:p>
    <w:p>
      <w:r>
        <w:t>IT: TF 8C_11/2024 del 11 gennaio 2024</w:t>
      </w:r>
    </w:p>
    <w:p>
      <w:pPr>
        <w:pStyle w:val="Heading2"/>
      </w:pPr>
      <w:r>
        <w:t>Erwägungen</w:t>
      </w:r>
    </w:p>
    <w:p>
      <w:r>
        <w:rPr>
          <w:b/>
        </w:rPr>
        <w:t>E. 1</w:t>
      </w:r>
    </w:p>
    <w:p>
      <w:r>
        <w:t>Mit Einspracheentscheid vom 14. Februar 2023 verneinte die Beschwerdegegnerin einen über den 31. Dezember 2020 hinausgehenden Anspruch des Beschwerdeführers auf Versicherungsleistungen.</w:t>
      </w:r>
    </w:p>
    <w:p>
      <w:r>
        <w:t>Das Versicherungsgericht des Kantons St. Gallen hiess die dagegen erhobene Beschwerde mit Entscheid vom 16. November 2023 teilweise gut und wies die Sache in Aufhebung des Einspracheentscheids an die Beschwerdegegnerin zu Prüfung und Ausrichtung der bis 31. März 2022 geschuldeten Taggeld- und Heilbehandlungsleistungen zurück. Im Übrigen wies es die Beschwerde ab.</w:t>
      </w:r>
    </w:p>
    <w:p>
      <w:r>
        <w:rPr>
          <w:b/>
        </w:rPr>
        <w:t>E. 2</w:t>
      </w:r>
    </w:p>
    <w:p>
      <w:r>
        <w:t>Mit diesem Rückweisungsentscheid ist der Leistungsstreit nach wie vor nicht abgeschlossen. Vielmehr wird die Beschwerdegegnerin in einem nächsten Schritt in der Sache neu verfügen bzw. einen neuen Einsprachentscheid fällen. Mit anderen Worten handelt es sich beim vorliegend angefochtenen Entscheid um einen Zwischenentscheid ( BGE 144 V 280 E. 1.2; 133 V 481 E. 4.2).</w:t>
      </w:r>
    </w:p>
    <w:p>
      <w:r>
        <w:t>Gegen solche selbstständig eröffnete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3.1</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für den Beschwerdeführer nicht ausgewiesen. Ihm wird im Anschluss an den noch zu fällenden Endentscheid der Rechtsmittelweg bis zum Bundesgericht offen stehen. Dabei wird er das bereits im Zwischenentscheid Entschiedene (Fallabschluss per 31. März 2022; keine Integritätsentschädigung, keine Invalidenrente) erneut thematisieren können ( Art. 93 Abs. 3 BGG ; dazu sehe etwa Urteil 8C_492/2020 vom 19. Februar 2021 E. 5).</w:t>
      </w:r>
    </w:p>
    <w:p>
      <w:r>
        <w:rPr>
          <w:b/>
        </w:rPr>
        <w:t>E. 3.2</w:t>
      </w:r>
    </w:p>
    <w:p>
      <w:r>
        <w:t>Selbst wenn die Beschwerde gutgeheissen würde, so könnte dies nicht zu einem Endentscheid in der Sache führen. Denn die in der Zeit vom 1. Januar bis zum 31. März 2022 geschuldeten Leistungen müssten so oder anderes erstmals durch die Beschwerdegegnerin bestimmt werden, ehe darüber gerichtlich befunden werden kann.</w:t>
      </w:r>
    </w:p>
    <w:p>
      <w:r>
        <w:rPr>
          <w:b/>
        </w:rPr>
        <w:t>E. 4</w:t>
      </w:r>
    </w:p>
    <w:p>
      <w:r>
        <w:t>Erweist sich die Beschwerde insgesamt als offensichtlich unzulässig, so führt dies zu einem Nichteintreten auf das Rechtsmittel im vereinfachten Verfahren nach Art. 108 Abs. 1 lit. a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