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8C_11/2016 vom 22. Februar 2016</w:t>
      </w:r>
    </w:p>
    <w:p>
      <w:r>
        <w:t>Bundesgericht, 2016-02-22, DE</w:t>
      </w:r>
    </w:p>
    <w:p>
      <w:r>
        <w:rPr>
          <w:b/>
        </w:rPr>
        <w:t xml:space="preserve">Quelle: </w:t>
      </w:r>
      <w:r>
        <w:t>https://mcp.opencaselaw.ch/entscheid/bger_8C_11_2016</w:t>
      </w:r>
    </w:p>
    <w:p>
      <w:r>
        <w:t>FR: TF 8C_11/2016 du 22 février 2016</w:t>
      </w:r>
    </w:p>
    <w:p>
      <w:r>
        <w:t>IT: TF 8C_11/2016 del 22 febbraio 2016</w:t>
      </w:r>
    </w:p>
    <w:p>
      <w:pPr>
        <w:pStyle w:val="Heading2"/>
      </w:pPr>
      <w:r>
        <w:t>Erwägungen</w:t>
      </w:r>
    </w:p>
    <w:p>
      <w:r>
        <w:rPr>
          <w:b/>
        </w:rPr>
        <w:t>E. 1.1</w:t>
      </w:r>
    </w:p>
    <w:p>
      <w:r>
        <w:t>Beim Entscheid des Verwaltungsgerichts des Kantons Bern vom 20. August 2014 handelt es sich um einen Zwischenentscheid, welcher bezüglich der Höhe der zugesprochenen Entschädigung mittels Beschwerde gegen den Endentscheid anfechtbar ist ( Art. 93 Abs. 3 BGG ). Gelangt - wie hier - der Streit nicht mehr vor das kantonale Gericht, etwa weil die IV-Stelle auf Grund der Ergebnisse ihrer weiteren Abklärungen zu Gunsten des Leistungsansprechers entscheidet, kann gegen deren Verfügung innerhalb der Frist des Art. 100 BGG ab Rechtskraft des Endentscheids direkt Beschwerde beim Bundesgericht erhoben werden und es können dabei die betreffenden Punkte gerügt werden ( BGE 139 V 604 E. 3.3 S. 607 f.; Urteil 9C_797/2015 vom 3. Dezember 2015 E. 1.1; je mit Hinweisen). Auf die Beschwerde ist einzutreten.</w:t>
      </w:r>
    </w:p>
    <w:p>
      <w:r>
        <w:rPr>
          <w:b/>
        </w:rPr>
        <w:t>E. 1.2</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w:t>
      </w:r>
    </w:p>
    <w:p>
      <w:r>
        <w:t>Streitig und zu prüfen ist, ob das kantonale Gericht Bundesrecht verletzt hat, als es dem Beschwerdeführer nicht eine Parteientschädigung gemäss der Honorarnote seine Rechtvertreters, sondern lediglich eine solche von Fr. 2'400.- zugesprochen hat.</w:t>
      </w:r>
    </w:p>
    <w:p>
      <w:r>
        <w:rPr>
          <w:b/>
        </w:rPr>
        <w:t>E. 3.1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9C_787/2014 vom 7. Juli 2015 E. 4 mit Hinweis). Im Übrigen ist die Bemessung der Parteientschädigung für das erstinstanzliche Beschwerdeverfahren in Sozialversicherungsangelegenheiten dem kantonalen Recht überlassen (Art. 61 Ingress ATSG).</w:t>
      </w:r>
    </w:p>
    <w:p>
      <w:r>
        <w:rPr>
          <w:b/>
        </w:rPr>
        <w:t>E. 3.2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praktisch nur das Willkürverbot in Betracht   ( Art. 9 BV ; Urteil 9C_412/2015 vom 23. Oktober 2015 E. 5.1 mit weiteren Hinweisen); es muss nicht nur die Begründung, sondern auch das Ergebnis unhaltbar sein ( BGE 132 V 13 E. 5.1 S. 17). Das Bundesgericht hebt die Festsetzung eines Anwaltshonorars nur auf, wenn sie ausserhalb jedes vernünftigen Verhältnisses zu den mit Blick auf den konkreten Fall notwendigen anwaltlichen Bemühungen steht und in krasser Weise gegen das Gerechtigkeitsgefühl verstösst (Urteil 9C_787/2014 vom 7. Juli 2015 E. 5.2 mit Hinweis).</w:t>
      </w:r>
    </w:p>
    <w:p>
      <w:r>
        <w:rPr>
          <w:b/>
        </w:rPr>
        <w:t>E. 3.3</w:t>
      </w:r>
    </w:p>
    <w:p>
      <w:r>
        <w:t>Der Beschwerdeführer legt nicht dar, dass die vorinstanzliche Festsetzung der Parteientschädigung nicht den bundesrechtlichen Anforderungen von Art. 61 lit. g ATSG genügen würde. Er macht lediglich geltend, sein Anwalt habe einen höheren als den von der Vorinstanz als notwendig anerkannten Aufwand betrieben und dieser sei nicht ungebührlich hoch gewesen. Entscheidend ist jedoch im vorliegenden Verfahrensstadium nicht, ob der geltend gemachte Aufwand vertretbar gewesen war, sondern, ob die vorinstanzlich anerkannte Entschädigung im Ergebnis ausserhalb jedes vernünftigen Verhältnisses zu den notwendigen anwaltlichen Bemühungen steht und damit in krasser Weise gegen das Gerechtigkeitsgefühl verstösst. Dies ist zu verneinen: Mit Blick auf den vorinstanzlichen Verfahrensgegenstand, der sich auf die Frage beschränkte, ob eine Verschlechterung des Gesundheitszustandes seit der letzten Leistungsverweigerung glaubhaft gemacht wurde, erscheint eine Entschädigung von pauschal Fr. 2'400.- nicht geradezu als krass zu tief. Die Beschwerde des Versicherten ist somit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