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8C_119/2022 vom 24. März 2022</w:t>
      </w:r>
    </w:p>
    <w:p>
      <w:r>
        <w:t>Bundesgericht, 2022-03-24, DE</w:t>
      </w:r>
    </w:p>
    <w:p>
      <w:r>
        <w:rPr>
          <w:b/>
        </w:rPr>
        <w:t xml:space="preserve">Quelle: </w:t>
      </w:r>
      <w:r>
        <w:t>https://mcp.opencaselaw.ch/entscheid/bger_8C_119_2022</w:t>
      </w:r>
    </w:p>
    <w:p>
      <w:r>
        <w:t>FR: TF 8C_119/2022 du 24 mars 2022</w:t>
      </w:r>
    </w:p>
    <w:p>
      <w:r>
        <w:t>IT: TF 8C_119/2022 del 24 marzo 2022</w:t>
      </w:r>
    </w:p>
    <w:p>
      <w:pPr>
        <w:pStyle w:val="Heading2"/>
      </w:pPr>
      <w:r>
        <w:t>Volltext</w:t>
      </w:r>
    </w:p>
    <w:p>
      <w:r>
        <w:t>Bundesgericht</w:t>
      </w:r>
    </w:p>
    <w:p>
      <w:r>
        <w:t>Tribunal fédéral</w:t>
      </w:r>
    </w:p>
    <w:p>
      <w:r>
        <w:t>Tribunale federale</w:t>
      </w:r>
    </w:p>
    <w:p>
      <w:r>
        <w:t>Tribunal federal</w:t>
      </w:r>
    </w:p>
    <w:p>
      <w:r>
        <w:t>8C_119/2022</w:t>
      </w:r>
    </w:p>
    <w:p>
      <w:r>
        <w:t>Urteil vom 24. März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Verwaltungsgerichts des Kantons Bern vom 13. Januar 2022 (200 21 585 UV).</w:t>
      </w:r>
    </w:p>
    <w:p>
      <w:r>
        <w:t>Nach Einsicht</w:t>
      </w:r>
    </w:p>
    <w:p>
      <w:r>
        <w:t>in die Beschwerde vom 18. Februar 2022 (Poststempel) gegen das Urteil des Verwaltungsgerichts des Kantons Bern vom 13. Januar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auch von Beschwerde führenden Laien erwartet werden darf, auf die vorinstanzliche Begründung konkret einzugehen,</w:t>
      </w:r>
    </w:p>
    <w:p>
      <w:r>
        <w:t>dass der Beschwerdeführer letztinstanzlich den Geschehensablauf seit dem 3. September 2000 darlegt und pauschal eine Entschädigung von der Suva fordert, ohne zugleich auch nur ansatzweise auf das von der Vorinstanz dazu Erwogene einzugehen,</w:t>
      </w:r>
    </w:p>
    <w:p>
      <w:r>
        <w:t>dass das kantonale Gericht nämlich im angefochtenen Entscheid die Anspruchsvoraussetzungen dargelegt hat, die erfüllt sein müssen, damit die Suva als Unfallversicherer leistungspflichtig wird, und zugleich ausgeführt hat, weshalb diese Voraussetzungen für die geltend gemachten Beschwerden am linken Arm nicht erfüllt seien,</w:t>
      </w:r>
    </w:p>
    <w:p>
      <w:r>
        <w:t>dass es hinsichtlich der Schulterproblematik rechts und der psychischen Beschwerden die Akten der Suva überwies, damit sie über einen allfälligen Leistungsanspruch entscheide,</w:t>
      </w:r>
    </w:p>
    <w:p>
      <w:r>
        <w:t>dass der Beschwerdeführer nicht ansatzweise darlegt, inwiefern die in diesem Zusammenhang getroffenen vorinstanzlichen Sachverhaltsfeststellungen unzutreffend im Sinne von Art. 97 Abs. 2 BGG und die darauf beruhenden Erwägungen rechtsfehlerhaft sein sollen,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24.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