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8C_119/2020 vom 26. November 2020</w:t>
      </w:r>
    </w:p>
    <w:p>
      <w:r>
        <w:t>Bundesgericht, 2020-11-26, FR</w:t>
      </w:r>
    </w:p>
    <w:p>
      <w:r>
        <w:rPr>
          <w:b/>
        </w:rPr>
        <w:t xml:space="preserve">Quelle: </w:t>
      </w:r>
      <w:r>
        <w:t>https://mcp.opencaselaw.ch/entscheid/bger_8C_119_2020</w:t>
      </w:r>
    </w:p>
    <w:p>
      <w:r>
        <w:t>FR: TF 8C_119/2020 du 26 novembre 2020</w:t>
      </w:r>
    </w:p>
    <w:p>
      <w:r>
        <w:t>IT: TF 8C_119/2020 del 26 novembre 2020</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La décision attaquée a été rendue en matière de rapports de travail de droit public au sens de l' art. 83 let . g LTF. Dans la mesure où le litige porte sur la résiliation de tels rapports, il s'agit d'une contestation pécuniaire (voir p. ex. arrêt 8C_257/2019 du 12 mai 2020 consid. 1.1) qui échappe au motif d'exclusion de l' art. 83 let . g LTF. Au vu des conclusions de la recourante, la valeur litigieuse dépasse par ailleurs le seuil de 15'000 fr. ( art. 85 al. 1 let. b LTF ).</w:t>
      </w:r>
    </w:p>
    <w:p>
      <w:r>
        <w:rPr>
          <w:b/>
        </w:rPr>
        <w:t>E. 1.2</w:t>
      </w:r>
    </w:p>
    <w:p>
      <w:r>
        <w:t>Le recours est pour le surplus dirigé contre une décision finale ( art. 90 LTF ) rendue par une autorité cantonale de dernière instance ( art. 86 al. 1 let . d LTF). Il a été déposé dans le délai ( art. 100 LTF ) et la forme ( art. 42 LTF ) prévus par la loi. Il est donc recevable.</w:t>
      </w:r>
    </w:p>
    <w:p>
      <w:r>
        <w:rPr>
          <w:b/>
        </w:rPr>
        <w:t>E. 2.1</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et pour autant que la correction du vice soit susceptible d'influer sur le sort de la cause ( art. 97 al. 1 LTF ).</w:t>
      </w:r>
    </w:p>
    <w:p>
      <w:r>
        <w:rPr>
          <w:b/>
        </w:rPr>
        <w:t>E. 2.2</w:t>
      </w:r>
    </w:p>
    <w:p>
      <w:r>
        <w:t>Sauf exceptions non pertinentes en l'espèce (cf. art. 95 let . c, d et e LTF), la violation du droit cantonal ou communal ne peut pas être invoquée en tant que telle devant le Tribunal fédéral ( art. 95 LTF a contrario). Il est cependant possible de faire valoir que son application viole le droit fédéral, comme la protection contre l'arbitraire ( art. 9 Cst. ) ou d'autres droits constitutionnels ( ATF 140 III 385 consid. 2.3 p. 387; 138 V 67 consid. 2.2 p. 69). Le Tribunal fédéral examine de tels moyens uniquement s'ils sont formulés conformément aux exigences de motivation qualifiée prévues à l' art. 106 al. 2 LTF ( ATF 142 V 577 consid. 3.2 p. 579 et la référence).</w:t>
      </w:r>
    </w:p>
    <w:p>
      <w:r>
        <w:rPr>
          <w:b/>
        </w:rPr>
        <w:t>E. 3.1</w:t>
      </w:r>
    </w:p>
    <w:p>
      <w:r>
        <w:t>L'art. 21 al. 3 de la loi genevoise générale relative au personnel de l'administration cantonale, du pouvoir judiciaire et des établissements publics médicaux du 4 décembre 1997 (LPAC; RS/GE B 5 05) prévoit que l'autorité compétente peut résilier les rapports de service du fonctionnaire pour un motif fondé. Selon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 L'art. 5 du règlement d'application de la LPAC (RPAC; RS/GE B 5 05.01) dispose que le personnel doit jouir d'un état de santé lui permettant de remplir les devoirs de sa fonction (al. 1); il peut en tout temps être soumis à un examen médical pratiqué sous la responsabilité du service de santé du personnel de l'État (al. 2); suite à un examen médical, le médecin-conseil remet à l'intéressé, à l'office du personnel, au chef de service intéressé ainsi qu'à la caisse de prévoyance, une attestation d'aptitude, d'aptitude sous conditions ou d'inaptitude à occuper la fonction, et il précise les contre-indications qui justifient son attestation (al. 3).</w:t>
      </w:r>
    </w:p>
    <w:p>
      <w:r>
        <w:rPr>
          <w:b/>
        </w:rPr>
        <w:t>E. 3.2</w:t>
      </w:r>
    </w:p>
    <w:p>
      <w:r>
        <w:t>La cour cantonale a retenu que l'intimé avait considéré à bon droit que la recourante était inapte à remplir les exigences de son poste au sens de l'art. 22 let. b LPAC. En effet, le médecin du travail oeuvrant au SPE, à savoir le "médecin-conseil" selon le RPAC, s'était prononcé à quatre reprises sur son état de santé et avait constaté une évolution favorable, tout en concluant qu'un retour à l'ancien poste de travail n'était pas envisageable compte tenu du risque de rechute. La recourante n'était donc pas apte à retourner au poste de travail pour lequel elle avait été engagée. Elle avait certes produit en juillet 2018 un certificat médical de reprise constatant une pleine capacité de travail, mais elle avait maintenu ses plaintes à l'égard de sa supérieure hiérarchique et fait valoir un droit à être reclassée sur cette base. La recourante n'avait en outre entrepris aucune démarche visant à prouver ses assertions à l'encontre de sa responsable et n'avait pas non plus manifesté le souhait de reprendre son poste de travail. Par conséquent et bien qu'elle fût apte à exercer une autre activité, elle ne l'était pas à remplir la fonction pour laquelle elle avait été engagée. Concernant le grief de la recourante selon lequel l'intimé se serait basé sur le préavis médical du 3 avril 2018 sans réexaminer son état de santé, les premiers juges ont retenu qu'elle n'avait ni allégué ni démontré être à nouveau apte à travailler sous la direction de sa supérieure, alors que telle était la raison - selon ses dires - de son inaptitude à travailler au sein du SPAP.</w:t>
      </w:r>
    </w:p>
    <w:p>
      <w:r>
        <w:rPr>
          <w:b/>
        </w:rPr>
        <w:t>E. 4.1</w:t>
      </w:r>
    </w:p>
    <w:p>
      <w:r>
        <w:t>Dans un grief d'ordre formel, la recourante invoque une violation de son droit d'être entendue ( art. 29 al. 2 Cst. ) : la juridiction cantonale aurait enfreint cette garantie constitutionnelle et aurait versé dans l'arbitraire en refusant de donner suite aux mesures d'instruction sollicitées. Les juges cantonaux n'auraient en effet pas disposé de suffisamment d'éléments pour conclure qu'elle était inapte à assumer les tâches liées à sa fonction de cheffe de secteur au SPAP. En résumé, le préavis du 3 avril 2018 serait obsolète et insuffisamment motivé, faute d'expliciter le risque de rechute ainsi que ses causes; il serait en outre contredit par son médecin traitant ainsi que par ses prestations auprès de la DOSIL. L'audition du médecin du SPE et de son médecin traitant en particulier auraient permis de confronter le point de vue des médecins et de comprendre pourquoi leurs appréciations divergeaient.</w:t>
      </w:r>
    </w:p>
    <w:p>
      <w:r>
        <w:rPr>
          <w:b/>
        </w:rPr>
        <w:t>E. 4.2</w:t>
      </w:r>
    </w:p>
    <w:p>
      <w:r>
        <w:t>Le droit d'être entendu est une garantie constitutionnelle de nature formelle, dont la violation entraîne l'annulation de la décision attaquée sans égard aux chances de succès du recours sur le fond ( ATF 141 V 495 consid. 2.2 p. 500; 127 V 431 consid. 3d/aa p. 437). Ce moyen doit par conséquent être examiné en premier lieu ( ATF 141 V 495 consid. 2.2 précité; 124 I 49 consid. 1 p. 50) et avec un plein pouvoir d'examen ( ATF 135 I 279 consid. 2.2 p. 281; 127 III 193 consid. 3 p. 194).</w:t>
      </w:r>
    </w:p>
    <w:p>
      <w:r>
        <w:t>Le droit d'être entendu impose notamment à l'autorité de donner suite aux offres de preuves pertinentes, lorsqu'elles apparaissent de nature à influer sur la décision à rendre ( ATF 145 I 167 consid. 4.1 p. 170 s.; 143 III 65 consid. 3.2 p. 67).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précité p. 171; 140 I 285 consid. 6.3.1 p. 299). En particulier, l'autorité de jugement peut renoncer à faire citer des témoins, qu'ils soient à charge ou à décharge, si, dans le cadre d'une appréciation anticipée des preuves, elle peut dénier à ces témoignages une valeur probante décisive pour le jugement ( ATF 129 I 179 consid. 3.1 p. 154; 125 I 127 consid. 6c/cc et 6c/dd p. 135 s.;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arrêt 8C_96/2020 du 15 octobre 2020 consid. 8.4.2 et la référence).</w:t>
      </w:r>
    </w:p>
    <w:p>
      <w:r>
        <w:rPr>
          <w:b/>
        </w:rPr>
        <w:t>E. 4.3.1</w:t>
      </w:r>
    </w:p>
    <w:p>
      <w:r>
        <w:t>En l'espèce, la juridiction cantonale a écarté les demandes d'instruction des deux parties au motif que la capacité de travail de la recourante dans un autre poste que celui supervisé par sa supérieure hiérarchique n'était pas contestée; l'audition de témoins pour déterminer la capacité de travail de la recourante n'aurait ainsi pas été de nature à modifier l'issue du litige. Au demeurant, les demandes d'instruction de cette dernière étaient irrecevables car elles avaient été formulées après l'échéance du délai de recours.</w:t>
      </w:r>
    </w:p>
    <w:p>
      <w:r>
        <w:rPr>
          <w:b/>
        </w:rPr>
        <w:t>E. 4.3.2</w:t>
      </w:r>
    </w:p>
    <w:p>
      <w:r>
        <w:t>Cette appréciation ne saurait être suivie. D'une part, la jurisprudence de l'instance précédente reconnaît qu'en matière administrative, il n'existe pas de délai pour solliciter des actes d'instruction et que l'administré conserve la faculté d'en requérir tout au long de la procédure, contentieuse ou non (cf. ATA/1074/2015 du 6 octobre 2015 consid. 2d et les références doctrinales). D'autre part, la procédure ainsi que les mesures d'instruction sollicitées par les parties se concentrent sur l'aptitude de la recourante à exercer sa fonction au sein du SPAP et non sur sa capacité de travail dans un autre poste, qui n'est en effet pas contestée. Cette question a une influence décisive sur l'issue du litige dès lors que la résiliation des rapports de service repose sur l'inaptitude de la recourante à remplir les exigences de son poste au SPAP. Or les déclarations divergentes des parties et les avis contradictoires des médecins consultés ne permettaient pas de se prononcer en connaissance de cause sur l'aptitude de la recourante à retourner à son poste initial. Le médecin du SPE n'a notamment pas précisé en quoi le poste de la recourante était contre-indiqué au vu de son état de santé. La juridiction cantonale n'explique du reste pas comment les pièces du dossier permettraient de départager les versions divergentes des faits qu'ont présentées les parties. En outre, l'intimé a sollicité des mesures d'instruction en partie similaires à celles de la recourante, à savoir l'audition de la psychologue et du médecin du SPE qui ont reçu la recourante. Les demandes d'instruction requises apparaissent par conséquent de nature à influer sur le sort de la décision et c'est à juste titre que la recourante se plaint d'une violation de son droit d'être entendue.</w:t>
      </w:r>
    </w:p>
    <w:p>
      <w:r>
        <w:rPr>
          <w:b/>
        </w:rPr>
        <w:t>E. 4.3.3</w:t>
      </w:r>
    </w:p>
    <w:p>
      <w:r>
        <w:t>Dans ces conditions, on doit admettre que la juridiction cantonale a procédé à une appréciation anticipée des preuves arbitraire et par là violé le droit d'être entendue de la recourante. Il convient ainsi de renvoyer la cause à l'autorité précédente pour qu'elle complète l'instruction et statue à nouveau.</w:t>
      </w:r>
    </w:p>
    <w:p>
      <w:r>
        <w:rPr>
          <w:b/>
        </w:rPr>
        <w:t>E. 5</w:t>
      </w:r>
    </w:p>
    <w:p>
      <w:r>
        <w:t>Au vu de la nature formelle du droit d'être entendu, le recours doit être admis sur ce point et le jugement entrepris annulé. Les autres griefs soulevés par la recourante ne doivent pas être examinés.</w:t>
      </w:r>
    </w:p>
    <w:p>
      <w:r>
        <w:rPr>
          <w:b/>
        </w:rPr>
        <w:t>E. 6</w:t>
      </w:r>
    </w:p>
    <w:p>
      <w:r>
        <w:t>L'intimé, qui succombe, supportera les frais judiciaires ( art. 66 al. 1 LTF ) et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