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8C_119/2015 vom 7. Dezember 2015</w:t>
      </w:r>
    </w:p>
    <w:p>
      <w:r>
        <w:t>Bundesgericht, 2015-12-07, DE</w:t>
      </w:r>
    </w:p>
    <w:p>
      <w:r>
        <w:rPr>
          <w:b/>
        </w:rPr>
        <w:t xml:space="preserve">Quelle: </w:t>
      </w:r>
      <w:r>
        <w:t>https://mcp.opencaselaw.ch/entscheid/bger_8C_119_2015</w:t>
      </w:r>
    </w:p>
    <w:p>
      <w:r>
        <w:t>FR: TF 8C_119/2015 du 7 décembre 2015</w:t>
      </w:r>
    </w:p>
    <w:p>
      <w:r>
        <w:t>IT: TF 8C_119/2015 del 7 dicembre 2015</w:t>
      </w:r>
    </w:p>
    <w:p>
      <w:pPr>
        <w:pStyle w:val="Heading2"/>
      </w:pPr>
      <w:r>
        <w:t>Erwägungen</w:t>
      </w:r>
    </w:p>
    <w:p>
      <w:r>
        <w:rPr>
          <w:b/>
        </w:rPr>
        <w:t>E. 1.1</w:t>
      </w:r>
    </w:p>
    <w:p>
      <w:r>
        <w:t>Das Bundesgericht prüft seine Zuständigkeit ( Art. 29 Abs. 1 BGG ) bzw. die Zulässigkeit der ihm unterbreiteten Rechtsmittel von Amtes wegen und mit voller Kognition ( BGE 136 I 42 E. 1 S. 43; 135 II 22 E. 1 S. 24; 134 IV 36 E. 1 S. 37).</w:t>
      </w:r>
    </w:p>
    <w:p>
      <w:r>
        <w:rPr>
          <w:b/>
        </w:rPr>
        <w:t>E. 1.2</w:t>
      </w:r>
    </w:p>
    <w:p>
      <w:r>
        <w:t>Die Beschwerde richtet sich gegen einen Endentscheid einer letzten kantonalen Instanz, der nicht beim Bundesverwaltungsgericht angefochten werden kann ( Art. 86 Abs. 1 lit. d, Art. 90 BGG ). Der angefochtene Entscheid betrifft ein Reglement des Stadtrats Zürich über die Anstellung des Personals der vom Schul- und Sportdepartement geführten Betreuungseinrichtungen (AS 177.600) und somit eine öffentlich-rechtliche Angelegenheit ( Art. 82 lit. b BGG ). Da auch die übrigen Sachurteilsvoraussetzungen vorliegen, namentlich ist die Stadt Zürich als Arbeitgeberin nach Art. 89 Abs. 1 BGG zur Beschwerdeführung legitimiert ( BGE 134 I 204 E. 2.3 S. 206 ff. mit Hinweisen; Urteil 8C_31/2009 vom 4. Januar 2010 E. 1.2; ferner Bernhard Waldmann, in: Basler Kommentar, Bundesgerichtsgesetz, 2. Aufl. 2011, N. 42 zu Art. 89 BGG ), ist auf die Beschwerde einzutreten.</w:t>
      </w:r>
    </w:p>
    <w:p>
      <w:r>
        <w:rPr>
          <w:b/>
        </w:rPr>
        <w:t>E. 2</w:t>
      </w:r>
    </w:p>
    <w:p>
      <w:r>
        <w:t>Die Beschwerde in öffentlich-rechtlichen Angelegenheiten kann wegen Rechtsverletzungen gemäss den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 Art. 42 Abs. 1 und 2 BGG ), grundsätzlich nur die geltend gemachten Rügen, sofern die rechtlichen Mängel nicht offensichtlich sind. Es ist nicht gehalten, wie eine erstinstanzliche Behörde alle sich stellenden rechtlichen Fragen zu untersuchen, wenn diese vor Bundesgericht nicht mehr vorgetragen werden ( BGE 133 II 249 E. 1.4.1 S. 254).</w:t>
      </w:r>
    </w:p>
    <w:p>
      <w:r>
        <w:rPr>
          <w:b/>
        </w:rPr>
        <w:t>E. 3.1</w:t>
      </w:r>
    </w:p>
    <w:p>
      <w:r>
        <w:t>In der Beschwerde wird zunächst eine Verletzung des rechtlichen Gehörs gerügt, indem das kantonale Gericht sich nicht mit sämtlichen Anträgen und Argumenten der Stadt Zürich befasst habe (zur Zulässigkeit der entsprechenden Rüge: Waldmann, a.a.O., N. 62 zu Art. 89 BGG mit Hinweisen).</w:t>
      </w:r>
    </w:p>
    <w:p>
      <w:r>
        <w:rPr>
          <w:b/>
        </w:rPr>
        <w:t>E. 3.2</w:t>
      </w:r>
    </w:p>
    <w:p>
      <w:r>
        <w:t>Das rechtliche Gehör nach Art. 29 Abs. 2 BV verlangt, dass die Behörde die Vorbringen der vom Entscheid in ihrer Rechtsstellung betroffenen Person auch tatsächlich hört, prüft und in der Entscheidfindung berücksichtigt. Daraus folgt die Verpflichtung der Behörde, ihren Entscheid zu begründen. Dabei ist es allerdings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 Urteil 8C_586/2014 vom 22. Dezember 2014 E. 2.2.1).</w:t>
      </w:r>
    </w:p>
    <w:p>
      <w:r>
        <w:rPr>
          <w:b/>
        </w:rPr>
        <w:t>E. 3.3</w:t>
      </w:r>
    </w:p>
    <w:p>
      <w:r>
        <w:t>Die Beschwerdeführerin beanstandet zur Hauptsache, das kantonale Gericht begnüge sich damit, in E. 5.4 seines Entscheids die von ihr vorgebrachten Argumente in knapper Form zusammenzufassen, ohne die wesentlichen Gesichtspunkte einzubeziehen. Eine Würdigung dieser Argumente erfolge nicht ansatzweise. Wie hievor dargelegt, ist es zulässig, dass sich die zuständige Behörde auf die für ihre Entscheidfindung essentiellen Aspekte beschränkt. Nach den Grundsätzen der Rechtsprechung erübrigt sich demgegenüber eine eingehende Befassung mit sämtlichen der von den Parteien erhobenen Einwendungen. Die Vorinstanz hat in E. 5.3 des Entscheids die Gründe aufgeführt, welche ihres Erachtens für eine Glaubhaftmachung einer geschlechtsspezifischen (Lohn-) Diskriminierung durch den Beschwerdegegner sprechen. Im Weiteren wird in E. 5.4 erörtert, weshalb der Beschwerdeführerin nach Auffassung des Gerichts der (Voll-) Beweis misslingt, dass durch die Umsetzung der vorgesehenen Ferienreduktion keine entsprechende Diskriminierung resultiert. Im Umstand, dass die Argumente der Beschwerdeführerin nicht im Sinne ihrer Betrachtungsweise gewürdigt worden sind, liegt keine Gehörsverletzung. Da die Überlegungen, die das vorinstanzliche Gericht zu seinem Entscheid bewogen haben, ohne weiteres aus den Erwägungen hervorgehen, ist ihm kein in formeller Hinsicht fehlerhaftes Verhalten vorzuwerfen.</w:t>
      </w:r>
    </w:p>
    <w:p>
      <w:r>
        <w:rPr>
          <w:b/>
        </w:rPr>
        <w:t>E. 4.1</w:t>
      </w:r>
    </w:p>
    <w:p>
      <w:r>
        <w:t>Das Bundesgericht überprüft einen Erlass im Rahmen der abstrakten Normenkontrolle grundsätzlich mit freier Kognition, auferlegt sich aber aus Gründen des Föderalismus, der Verhältnismässigkeit und - bei der Überprüfung kommunalen Rechts - der Gemeindeautonomie eine gewisse Zurückhaltung. Nach der Praxis ist dabei massgebend, ob der angefochtenen Norm nach den anerkannten Auslegungsregeln ein Sinn beigemessen werden kann, der sich mit den angerufenen verfassungsmässigen oder staatsvertraglichen Rechten vereinbaren lässt. Das Bundesgericht hebt demnach eine kantonale Norm nur auf, sofern sie sich jeglicher verfassungs- und völkerrechtskonformen Auslegung entzieht, nicht jedoch, wenn sie einer solchen in vertretbarer Weise zugänglich bleibt. Für die Beurteilung dieser Frage sind die Tragweite des Grundrechtseingriffs sowie die Möglichkeit von Bedeutung, bei einer späteren konkreten Normenkontrolle - d.h. im Anwendungsfall - einen hinreichenden verfassungsrechtlichen Schutz zu erhalten. Es ist deshalb zu beachten, unter welchen Umständen die betreffende Bestimmung zur Anwendung gelangen wird. Das Verfassungsgericht hat die Möglichkeit einer verfassungskonformen Auslegung nicht nur abstrakt zu untersuchen, sondern auch die Wahrscheinlichkeit verfassungstreuer Anwendung miteinzubeziehen. Dabei dürfen die Erklärungen der kantonalen Behörden über die künftige Anwendung der Vorschrift mitberücksichtigt werden ( BGE 135 II 243 E. 2, 130 I 82 E. 2.1).</w:t>
      </w:r>
    </w:p>
    <w:p>
      <w:r>
        <w:rPr>
          <w:b/>
        </w:rPr>
        <w:t>E. 4.2</w:t>
      </w:r>
    </w:p>
    <w:p>
      <w:r>
        <w:t>Der Rechtsschutz des GlG bezieht sich auf geschlechterbezogene Diskriminierung im Erwerbsleben (Art. 2 f. GlG). Art. 3 GlG und Art. 8 Abs. 3 BV verbieten die direkte und indirekte Diskriminierung von Arbeitnehmenden aufgrund des Geschlechts. Eine direkte Diskriminierung liegt vor, wenn sich eine Ungleichbehandlung ausdrücklich auf die Geschlechtszugehörigkeit oder auf ein Kriterium stützt, das nur von einem der beiden Geschlechter erfüllt werden kann, und sie sich nicht sachlich rechtfertigen lässt. Eine indirekte geschlechtsbedingte Diskriminierung liegt vor, wenn eine formal geschlechtsneutrale Regelung im Ergebnis wesentlich mehr bzw. überwiegend Angehörige des einen Geschlechts ohne sachliche Begründung gegenüber jenen des anderen Geschlechts erheblich benachteiligt ( BGE 125 II 541 E. 6a S. 550 f.; vgl. auch BGE 138 I 205 E. 5.5 S. 213 f. mit Hinweisen; MARGRITH BIGLER-EGGENBERGER, in: Die schweizerische Bundesverfassung, 2. Aufl. 2008, N. 92 zu Art. 8 BV ; ELISABETH FREIVOGEL, in: Claudia Kaufmann/Sabine Steiger-Sackmann [Hrsg.], Kommentar zum Gleichstellungsgesetz, 2. Aufl. 2009, N. 5 und 8 zu Art. 3 GlG ). Das Verbot gilt insbesondere für die Anstellung, die Aufgabenteilung, Gestaltung der Arbeitsbedingungen, Entlöhnung, Aus- und Weiterbildung, Beförderung und Entlassung ( Art. 3 Abs. 2 GlG ). Die Diskriminierung wird vermutet, wenn sie glaubhaft gemacht wird ( Art. 6 GlG ).</w:t>
      </w:r>
    </w:p>
    <w:p>
      <w:r>
        <w:rPr>
          <w:b/>
        </w:rPr>
        <w:t>E. 4.3</w:t>
      </w:r>
    </w:p>
    <w:p>
      <w:r>
        <w:t>Die strittige Frage, ob die in Art. 6 GlG vorgesehene Beweislasterleichterung im Rahmen eines abstrakten Normenkontrollverfahrens zum Tragen kommt, braucht nicht beantwortet zu werden (vgl. BGE 125 I 71 E. 4a S. 82), wie sich aus den nachstehenden Erwägungen ergibt.</w:t>
      </w:r>
    </w:p>
    <w:p>
      <w:r>
        <w:rPr>
          <w:b/>
        </w:rPr>
        <w:t>E. 4.4</w:t>
      </w:r>
    </w:p>
    <w:p>
      <w:r>
        <w:t>Vorliegend ist einziger Streitgegenstand, ob die beschlossene Kürzung des Ferienanspruchs gemäss Dispositiv-Ziff. 3 des stadträtlichen Beschlusses vom 20. März 2013 gegen das Gleichstellungsgesetz verstösst.</w:t>
      </w:r>
    </w:p>
    <w:p>
      <w:r>
        <w:t>Das Anstellungsreglement 2013 sieht eine Anpassung des Ferienanspruchs der Hortleiterinnen und Hortleiter sowie der Leitungen Betreuung an den Anspruch der übrigen städtischen Angestellten vor (mit Besitzstandwahrung des bestehenden Ferienanspruchs derjenigen Angestellten, die vor 1. Januar 2014 das 58. Altersjahr vollendet haben). Der nach bisheriger Regelung individuell bestehende Ferienanspruch wird darin per 1. Januar 2014 um eine Woche reduziert und auf den 1. Januar 2015 den Ausführungsbestimmungen zum Personalrecht angepasst (vgl. Sachverhalt A.b hiervor). Die angefochtene Norm betrifft die Feriendauer und somit eine Anstellungsbedingung. Die Angleichung an die Ausführungsbestimmungen des städtischen Personalrechts bewirkt eine Gleichbehandlung mit vergleichbaren Berufsgruppen und dem übrigen städtischen Personal in Bezug auf die Feriendauer. Dass die Dauer der Ferien nach geschlechtsspezifischen Kriterien zu erfolgen hätte, wird zu Recht nicht vorgebracht. Es ist nicht ersichtlich, worin bei dieser Anpassung der Ferienregelung im Sinne einer nicht mehr sachgerechten Ungleichbehandlung der Hortleitenden sowie der Leitungen Betreuung gegenüber dem übrigen städtischen Personal eine Diskriminierung aufgrund des Geschlechts in Bezug auf die Anstellungsbedingungen bestehen soll. Wie bereits die Vorinstanz festgestellt hat, sind keine betrieblichen Besonderheiten bei der Berufsgruppe der Hortleitenden auszumachen, die nicht bereits bei der Funktionsbewertung berücksichtigt worden sind bzw. eine Gewichtung erreichen, die einen höheren Ferienanspruch zu rechtfertigen vermöchten. Es werden dementsprechend seitens des Beschwerdegegners keine objektiven Anhaltspunkte vorgebracht, die eine gewisse Wahrscheinlichkeit für eine geschlechterspezifische Benachteiligung vermitteln. Die in Frage stehende Diskriminierung ist somit nicht glaubhaft gemacht, weshalb die Beweislastumkehr des Art. 6 GlG nicht zum Tragen kommt.</w:t>
      </w:r>
    </w:p>
    <w:p>
      <w:r>
        <w:rPr>
          <w:b/>
        </w:rPr>
        <w:t>E. 4.5.1</w:t>
      </w:r>
    </w:p>
    <w:p>
      <w:r>
        <w:t>Überdies findet der beschwerdegegnerische Einwand, bei der Gewährung der Lohnerhöhung sei der erhöhte Ferienanspruch als Lohnbestandteil berücksichtigt worden und die Einreihung aufgrund des höheren Ferienanspruchs bewusst tiefer erfolgt, nirgends eine Stütze. Es ergibt sich weder aus dem angefochtenen Entscheid noch aus den übrigen Akten, dass zu irgend einem Zeitpunkt der Neueinreihung der Hortleitenden in das städtische Lohnsystem ein Zusammenhang zwischen Lohneinreihung und höherem Ferienanspruch dieser Berufsgruppe bestand oder hergestellt wurde:</w:t>
      </w:r>
    </w:p>
    <w:p>
      <w:r>
        <w:rPr>
          <w:b/>
        </w:rPr>
        <w:t>E. 4.5.2</w:t>
      </w:r>
    </w:p>
    <w:p>
      <w:r>
        <w:t>Das Verwaltungsgericht des Kantons Zürich entschied in PK.2000.00004 vom 18. Dezember 2002 gestützt auf eine rechtsprechungsgemäss anerkannte Bewertungsmethode ( BGE 124 II 409 E. 4d), die sogenannte "Vereinfachte Funktionsanalyse" (VFA), und der Bundesrechtsprechung zu Fragen der Gleichberechtigung, dass die Einstufung der Klägerin (Hortnerin) gegenüber Schulhausabwarten diskriminierend im Sinn von Art. 3 Abs. 1 und 2 GIG sei. Weiter hielt es fest, dass es sich bei der Tätigkeit im Hortbereich um einen typischen Frauenberuf handle. Bei der angewandten Vergleichsmethode erläuterte das Gericht eingehend die Systematik wie auch die sechs angewandten Vergleichskriterien: Ausbildung/Erfahrung, geistige Anforderungen, Verantwortung, psychische Anforderungen/Belastungen, physische Anforderungen/Belastungen, Beanspruchung der Sinnesorgane/spezielle Arbeitsbedingungen. Bei keinem Kriterium wurde der Ferienanspruch berücksichtigt. In der Folge sprach das Verwaltungsgericht der Klägerin eine Einreihung in eine höhere Besoldungsklasse zu, was zu einer Nachzahlungspflicht des Bruttolohns von Fr. 26'712.- führte. Die Nachzahlung für die Jahre 1994 bis 1997 entspricht ca. 11 % mehr Lohn gegenüber dem bezahlten Bruttolohn.</w:t>
      </w:r>
    </w:p>
    <w:p>
      <w:r>
        <w:rPr>
          <w:b/>
        </w:rPr>
        <w:t>E. 4.5.3</w:t>
      </w:r>
    </w:p>
    <w:p>
      <w:r>
        <w:t>Im Fall PB.2005.00060 vom 8. September 2006 hielt das kantonale Verwaltungsgericht fest, nach Einführung des neuen städtischen Lohnsystems sei die Einstufung einer Hortleiterin in die Funktionsstufe 9 rechtmässig und unbestritten. Sodann richte sich der Lohn gemäss neuem Besoldungssystem der Stadt Zürich nach dem Schwierigkeitsgrad der Funktion, der nutzbaren Erfahrung und dem Leistungsbeitrag (Art. 47 PR). Der Rechtsstreit drehte sich dabei um die Platzierung der Klägerin innerhalb der Funktionsstufe 9. Es erwog, eine Überführung in ein neues Lohnsystem sei dann diskriminierend, wenn die Überführung mit Kürzungen, etwa bei der angerechneten Erfahrung, operiere, die in erster Linie typische Frauenberufe betreffe, oder wenn eine frühere Diskriminierung aufrecht erhalten bleibe. Das Verwaltungsgericht führte explizit aus: "Es ist nicht glaubhaft, dass eine allfällige Diskriminierung frankenmässig relevant mehr als 10 % ausgemacht hätte. Unter diesem Aspekt sei es dementsprechend auch nicht glaubhaft, dass die vom Bezirksrat festgelegte Überführung mit einem Lohnanstieg von 10.05 % diskriminierend sei."</w:t>
      </w:r>
    </w:p>
    <w:p>
      <w:r>
        <w:rPr>
          <w:b/>
        </w:rPr>
        <w:t>E. 4.5.4</w:t>
      </w:r>
    </w:p>
    <w:p>
      <w:r>
        <w:t>Die Vorinstanz stellte im angefochtenen Entscheid ebenfalls fest, bei der Funktionsbewertung Hortleitung anlässlich der Einführung des Personalrechts im Jahr 2002 und des städtischen Lohnsystems 2006 seien die Ferien nicht berücksichtigt worden. Sodann hatte das Verwaltungsgericht explizit in PK.2000.00004 und in PB.2005.00060 festgehalten, die Lohnerhöhung sei in Geld zu gewähren. Folglich wurden weder bei der Einführung in das neue Lohnsystem noch in den nachträglich beurteilten Fällen die Ferien als Lohnbestandteil angesehen; der Ausgleich fand jeweils durch eine tatsächliche Lohnerhöhung statt, ohne dass dabei die Ferien berücksichtigt wurden. Damit übereinstimmend räumt auch der Beschwerdegegner explizit eine frankenmässige Lohnerhöhung von 10% ein: "Die Lohnerhöhung von 10 %, welche das Verwaltungsgericht angeordnet hatte, wurde in Geld gewährt" Demnach ist die Frage, ob der Lohn entsprechend dem Faktor "Ferien" reduziert wurde und somit der erhöhte Ferienanspruch in den 10 % als Lohnbestandteil Berücksichtigung fand, zu verneinen.</w:t>
      </w:r>
    </w:p>
    <w:p>
      <w:r>
        <w:rPr>
          <w:b/>
        </w:rPr>
        <w:t>E. 4.5.5</w:t>
      </w:r>
    </w:p>
    <w:p>
      <w:r>
        <w:t>Wurde - wie dargelegt - die lohnmässige Diskriminierung von 10 % durch Geld aufgewogen und ist mit dem kantonalen Gericht erstellt, dass sich ein erhöhter Ferienanspruch bei der Funktion Hortleitung überdies nicht durch betriebliche Besonderheiten rechtfertigt, kann die Ferienreduktion auch unter diesem Gesichtspunkt nicht in eine geschlechterdiskriminierende Ungleichbehandlung münden. Vielmehr ist es so, dass die Hortleitenden über Jahre von einem vorteilhaften Ferienmodell profitieren durften, welches nun im Rahmen der kommunalen Übergangsregelung den Ausführungsbestimmungen des Personalrechts angepasst wurde. Sollte, wie der Beschwerdegegner behauptet, die damalige Einreihung in die Funktionsstufe 9 wegen des höheren Ferienanspruchs nicht angefochten worden sein, ist dies nicht Gegenstand des vorliegenden Prozesses und müsste in einem neuen Verfahren zur Überprüfung der Einreihung vorgebracht werden.</w:t>
      </w:r>
    </w:p>
    <w:p>
      <w:r>
        <w:rPr>
          <w:b/>
        </w:rPr>
        <w:t>E. 4.5.6</w:t>
      </w:r>
    </w:p>
    <w:p>
      <w:r>
        <w:t>Die angefochtene Übergangsregelung des Stadtrats gemäss Beschluss vom 20. März 2013 ist nach dem Gesagten im Rahmen der abstrakten Normenkontrolle als sachlich logisch und verfassungskonform zu qualifizieren. Zur gegenteiligen Auffassung konnte die Vorinstanz nur gelangen, indem sie den Sachverhalt nicht richtig bzw. nicht abschliessend feststellte. Die Beschwerde ist daher gutzuheissen.</w:t>
      </w:r>
    </w:p>
    <w:p>
      <w:r>
        <w:rPr>
          <w:b/>
        </w:rPr>
        <w:t>E. 5</w:t>
      </w:r>
    </w:p>
    <w:p>
      <w:r>
        <w:t>Dem Ausgang des Verfahrens entsprechend sind die Gerichtskosten dem Beschwerdegegner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