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8C_118/2012 vom 11. September 2012</w:t>
      </w:r>
    </w:p>
    <w:p>
      <w:r>
        <w:t>Bundesgericht, 2012-09-11, DE</w:t>
      </w:r>
    </w:p>
    <w:p>
      <w:r>
        <w:rPr>
          <w:b/>
        </w:rPr>
        <w:t xml:space="preserve">Quelle: </w:t>
      </w:r>
      <w:r>
        <w:t>https://mcp.opencaselaw.ch/entscheid/bger_8C_118_2012</w:t>
      </w:r>
    </w:p>
    <w:p>
      <w:r>
        <w:t>FR: TF 8C_118/2012 du 11 septembre 2012</w:t>
      </w:r>
    </w:p>
    <w:p>
      <w:r>
        <w:t>IT: TF 8C_118/2012 del 11 settembre 2012</w:t>
      </w:r>
    </w:p>
    <w:p>
      <w:pPr>
        <w:pStyle w:val="Heading2"/>
      </w:pPr>
      <w:r>
        <w:t>Erwägungen</w:t>
      </w:r>
    </w:p>
    <w:p>
      <w:r>
        <w:rPr>
          <w:b/>
        </w:rPr>
        <w:t>E. 1</w:t>
      </w:r>
    </w:p>
    <w:p>
      <w:r>
        <w:t>Die beiden Beschwerden betreffen einen kantonalen Gerichtsentscheid vom 29. Dezember 2011, es liegt ihnen derselbe Sachverhalt zugrunde und es stellen sich die gleichen Rechtsfragen, weshalb die beiden Verfahren zu vereinigen und in einem einzigen Urteil zu erledigen sind.</w:t>
      </w:r>
    </w:p>
    <w:p>
      <w:r>
        <w:rPr>
          <w:b/>
        </w:rPr>
        <w:t>E. 2.1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Gemäss Art. 42 Abs. 1 BGG ist die Beschwerde hinreichend zu begründen, andernfalls wird darauf nicht eingetreten ( Art. 108 Abs. 1 lit. b BGG ).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2.2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3</w:t>
      </w:r>
    </w:p>
    <w:p>
      <w:r>
        <w:t>Das kantonale Gericht hat die Bestimmungen und Grundsätze zum Anspruch auf eine Invalidenrente der Unfallversicherung ( Art. 18 Abs. 1 UVG ; Art. 8 ATSG ), zur Ermittlung des Invaliditätsgrades bei erwerbstätigen Versicherten nach der Einkommensvergleichsmethode ( Art. 16 ATSG ) sowie zur Aufgabe des Arztes im Rahmen der Invaliditätsbemessung ( BGE 132 V 93 E. 4 S. 99; 125 V 256 E. 4 S. 261 f.; vgl. auch AHI 2002 S. 62, I 82/01 E. 4b/cc) zutreffend dargelegt. Darauf wird verwiesen.</w:t>
      </w:r>
    </w:p>
    <w:p>
      <w:r>
        <w:rPr>
          <w:b/>
        </w:rPr>
        <w:t>E. 4</w:t>
      </w:r>
    </w:p>
    <w:p>
      <w:r>
        <w:t>Streitig ist zunächst der Anspruch der Versicherten auf eine Invalidenrente. Für die Beurteilung entscheidwesentlich ist diesbezüglich vorab die Arbeitsfähigkeit.</w:t>
      </w:r>
    </w:p>
    <w:p>
      <w:r>
        <w:rPr>
          <w:b/>
        </w:rPr>
        <w:t>E. 4.1</w:t>
      </w:r>
    </w:p>
    <w:p>
      <w:r>
        <w:t>Nach den vorinstanzlichen Erwägungen ist gestützt auf das Gutachten des Instituts B.________ davon auszugehen, dass die Versicherte ihren angestammten Beruf als Köchin und Wirtin wegen fehlender Kraft in der rechten Hand und der dadurch eingebüssten Geschicklichkeit nicht mehr ausüben könne. Gemäss eigenen Angaben setze sie ihre rechte Hand nur noch als Hilfshand ein. Auch die von der Mobiliar veranlassten Observationen vermöchten diese Einschätzung der Gutachter nicht in einem anderen Licht erscheinen zu lassen.</w:t>
      </w:r>
    </w:p>
    <w:p>
      <w:r>
        <w:rPr>
          <w:b/>
        </w:rPr>
        <w:t>E. 4.2</w:t>
      </w:r>
    </w:p>
    <w:p>
      <w:r>
        <w:t>Gemäss den Schilderungen der Versicherten anlässlich der Begutachtung sei ihr mit der rechten Hand nur noch der Griff zwischen Daumen und Zeigfinger möglich. Sie könne die Hand weder zur Faust schliessen noch vollständig öffnen und wegen der fehlenden Kraft kaum Gegenstände in der Hand halten. Indessen zeigten sich erhebliche und unerklärliche Diskrepanzen bei der Kraftmessung durch den neurologischen und den orthopädischen Gutachter. Diese war bei der orthopädischen Untersuchung deutlich eingeschränkt, ohne dass sich jedoch bei der neurologischen Abklärung fassbare Paresen gezeigt hätten. Eine Einschränkung war nach Auffassung der Gutachter nicht auf eine Krankheit des zentralen Nervensystems zurückzuführen, wofür sich klinisch (bei anamnestisch diagnostizierter Multipler Sklerose) bei der Begutachtung ohnehin keine diesbezüglichen Hinweise zeigten. Von Seiten des peripheren Nervensystems liesse sich eine Einschränkung gemäss den Ausführungen der Gutachter einzig durch eine Nervenläsion mit nachfolgender Muskellähmung erklären. Aufgrund der klinischen Anamnese und der durchgeführten Neurographien fanden sich dafür jedoch ebenfalls keine Anhaltspunkte, und die von ihnen veranlasste Magnetresonanzuntersuchung ergab keine entsprechende Veränderung der Muskulatur. Die von der Versicherten gezeigte Krafteinschränkung beim Faustschluss liess sich somit pathologisch nicht objektivieren.</w:t>
      </w:r>
    </w:p>
    <w:p>
      <w:r>
        <w:rPr>
          <w:b/>
        </w:rPr>
        <w:t>E. 4.3</w:t>
      </w:r>
    </w:p>
    <w:p>
      <w:r>
        <w:t>Den Berichten über die Observationen lässt sich entnehmen, dass die Versicherte zwischenzeitlich ein Taxi-Boot geführt hatte, Gesundheitsseminare anbot und später als Inhaberin eines Restaurants tätig war. Sie wurde namentlich beim Servieren beobachtet, wobei sie mit der rechten Hand insbesondere Getränke einschenken, aber auch das gefüllte Glas halten und die bestellten Gerichte an den Tisch bringen konnte, des Weiteren beim Autofahren, beim Einkaufen und Einladen der vollen Einkaufstaschen ins Auto, beim Essen, wobei beim Hantieren mit Messer und Gabel keine Auffälligkeiten zu entdecken waren, oder wie sie beispielsweise, ebenfalls mit der rechten Hand, Eis vom Autofenster kratzte oder sich mit einem Feuerzeug eine Zigarette anzündete.</w:t>
      </w:r>
    </w:p>
    <w:p>
      <w:r>
        <w:rPr>
          <w:b/>
        </w:rPr>
        <w:t>E. 4.4</w:t>
      </w:r>
    </w:p>
    <w:p>
      <w:r>
        <w:t>Entgegen der Auffassung des kantonalen Gerichts bestehen damit erhebliche Zweifel an der gutachtlichen Einschätzung, wonach die Versicherte zufolge der fehlenden Kraft an der rechten Hand und der dadurch bedingten mangelnden Geschicklichkeit den angestammten Beruf als Köchin nicht mehr ausüben könne und auch in einer leidensangepassten Tätigkeit in der Arbeitsfähigkeit erheblich eingeschränkt sei. Vielmehr scheint sich aufgrund der Observation die ärztliche Vermutung zu bestätigen, dass die gezeigten Diskrepanzen bei der Untersuchung patientenbedingt seien, wozu die Gutachter indessen zumindest hätten Stellung nehmen müssen. Ohne weitere diesbezügliche Abklärungen lässt sich die Arbeitsfähigkeit unter diesen Umständen nicht zuverlässig beurteilen. Insbesondere kann aus den Observationsberichten mangels entsprechender Beobachtungen auch nicht auf eine vollständige Arbeitsfähigkeit als Köchin geschlossen werden. Die Sache ist daher an die Vorinstanz zurückzuweisen.</w:t>
      </w:r>
    </w:p>
    <w:p>
      <w:r>
        <w:rPr>
          <w:b/>
        </w:rPr>
        <w:t>E. 4.5</w:t>
      </w:r>
    </w:p>
    <w:p>
      <w:r>
        <w:t>Da sich bei diesem Ergebnis auch die erwerblichen Auswirkungen nicht beurteilen lassen, ist auf den vorinstanzlichen Einkommensvergleich und die dagegen von der Mobiliar vorgebrachten Einwände nicht weiter einzugehen.</w:t>
      </w:r>
    </w:p>
    <w:p>
      <w:r>
        <w:rPr>
          <w:b/>
        </w:rPr>
        <w:t>E. 5</w:t>
      </w:r>
    </w:p>
    <w:p>
      <w:r>
        <w:t>Zu prüfen ist weiter die Rückerstattungsforderung der Mobiliar.</w:t>
      </w:r>
    </w:p>
    <w:p>
      <w:r>
        <w:rPr>
          <w:b/>
        </w:rPr>
        <w:t>E. 5.1</w:t>
      </w:r>
    </w:p>
    <w:p>
      <w:r>
        <w:t>Es ergibt sich aus den Akten und ist insoweit unbestritten, dass die Versicherte vom 1. Dezember 1999 bis zum 31. Mai 2000 Taggelder der Unfallversicherung entsprechend einer 100%igen Arbeitsunfähigkeit in der Höhe von Fr. 23'460.- bezog, gleichzeitig aber im Hotel A.________ angestellt war und ihr der vereinbarte Lohn von Fr. 27'989.- ausgerichtet wurde. Anlässlich der Besprechung mit der Schadensachbarbeiterin am 31. Mai 2000 hatte sie jedoch versichert, dort nur gewohnt und nicht gearbeitet zu haben.</w:t>
      </w:r>
    </w:p>
    <w:p>
      <w:r>
        <w:rPr>
          <w:b/>
        </w:rPr>
        <w:t>E. 5.2</w:t>
      </w:r>
    </w:p>
    <w:p>
      <w:r>
        <w:t>Die Vorinstanz hat die Rückerstattungsforderung bestätigt und erwogen, dass der Leistungsbezug als betrügerisch im Sinne von Art. 146 StGB zu qualifizieren und zufolge Berücksichtigung einer 15jährigen strafrechtlichen Verjährungsfrist (gemäss Art. 97 Abs. 1 lit. b StGB , in Kraft seit dem 1. Januar 2007) noch durchsetzbar sei.</w:t>
      </w:r>
    </w:p>
    <w:p>
      <w:r>
        <w:rPr>
          <w:b/>
        </w:rPr>
        <w:t>E. 5.3</w:t>
      </w:r>
    </w:p>
    <w:p>
      <w:r>
        <w:t>Nach Art. 52 aUVG beziehungsweise Art. 25 ATSG sind unrechtmässig bezogene Leistungen zurückzuerstatten. Ob mit Blick auf den unrechtmässigen Leistungsbezug und den Zeitpunkt der verfügten Rückforderung die bis zum 31. Dezember 2002 gültig gewesene oder die ab dem 1. Januar 2003 in Kraft stehende Bestimmung heranzuziehen ist, kann letztlich offen gelassen werden, zumal sich inhaltlich hinsichtlich der hier entscheidwesentlichen Regelung (dazu sogleich E. 5.5) der dabei einzuhaltenden Fristen nichts geändert hat (vgl. BGE 130 V 318 ; SVR 2007 AlV Nr. 2 S. 3, C 88/04 E. 3). Demnach ist der Rückforderungsanspruch innerhalb eines Jahres, nachdem die Versicherungseinrichtung davon Kenntnis erhalten hat, spätestens aber fünf Jahre nach der Entrichtung der einzelnen Leistung geltend zu machen. Es handelt sich dabei um Verwirkungsfristen, die von Amtes wegen zu berücksichtigen sind (Urteile U 88/03 vom 12. Mai 2004 E. 5.4.1; 8C_777/2011 vom 1. Mai 2012 E. 5.2; BGE 133 V 579 E. 4.1 S. 582). Wird der Rückerstattungsanspruch aus einer strafbaren Handlung hergeleitet, für welche das Strafrecht eine längere Verjährungsfrist vorsieht, so ist diese Frist massgebend.</w:t>
      </w:r>
    </w:p>
    <w:p>
      <w:r>
        <w:rPr>
          <w:b/>
        </w:rPr>
        <w:t>E. 5.4</w:t>
      </w:r>
    </w:p>
    <w:p>
      <w:r>
        <w:t>Zur genannten einjährigen Frist zur Geltendmachung der Unrechtmässigkeit seit Kenntnisnahme äussert sich das kantonale Gericht nicht. Mit Blick auf die nachfolgenden Erwägungen ist darauf nicht weiter einzugehen.</w:t>
      </w:r>
    </w:p>
    <w:p>
      <w:r>
        <w:rPr>
          <w:b/>
        </w:rPr>
        <w:t>E. 5.5</w:t>
      </w:r>
    </w:p>
    <w:p>
      <w:r>
        <w:t>Entscheidwesentlich ist hier die Frage, ob sich die Versicherte mit dem Leistungsbezug im Zeitraum von Dezember 1999 bis Mai 2000 strafbar gemacht hat und die Mobiliar deshalb die Taggelder auch nach Ablauf der fünfjährigen Verwirkungsfrist noch zurückfordern konnte.</w:t>
      </w:r>
    </w:p>
    <w:p>
      <w:r>
        <w:t>Unbestrittenerweise ist keine Strafanzeige erhoben worden und fehlt ein entsprechendes Strafurteil. Für die Anwendung der strafrechtlichen Verjährungsfrist ist indessen nicht erforderlich, dass ein Strafverfahren bereits eröffnet wurde. Es ist in diesem Fall jedoch rechtsprechungsgemäss vorfrageweise darüber zu befinden, ob sich der Rückforderungsanspruch aus einer strafbaren Handlung herleite ( BGE 113 V 256 E. 4a S. 258 f.). Auch bei selbstständiger vorfrageweiser Beurteilung des Straftatbestandes durch die sozialversicherungsrechtlichen Behörden muss die strafbare Handlung bewiesen sein, wobei der strafrechtliche Beweismassstab anzuwenden ist ( BGE 113 V 256 E. 4a S. 259; 138 V 74 E. 6.1 S. 80).</w:t>
      </w:r>
    </w:p>
    <w:p>
      <w:r>
        <w:t>Die Versicherte wurde zu dem erstmals durch die Vorinstanz erhobenen Vorwurf des Betruges im Sinne von Art. 146 StGB unter Verletzung des rechtlichen Gehörs ( Art. 29 Abs. 2 BV ) niemals befragt. Insbesondere konnte sie sich damit auch nicht konfrontiert sehen, als ihr von der Mobiliar am 15. Juni 2010 die Gelegenheit zur Stellungnahme zu den Observationsberichten eingeräumt wurde. Schon aus diesem Grund ist der vorinstanzliche Entscheid in diesem Punkt aufzuheben. Unterbleibt wie hier eine Strafanzeige, so bestehen im Übrigen rechtsprechungsgemäss erhebliche Zweifel am Vorliegen einer strafbaren Handlung ( BGE 113 V 256 E. 4a S. 259). Auf jeden Fall hat die Behörde, die sich auf die strafrechtliche Verjährungsfrist beruft, Aktenmaterial vorzulegen, welches das strafbare Verhalten hinreichend ausweist. Erforderlich ist, dass eine objektiv strafbare Handlung vorliegt und dass die auf Rückerstattung belangte Person die strafbare Handlung begangen hat und die subjektiven Strafbarkeitsvoraussetzungen erfüllt ( BGE 138 V 74 E. 6.1 S. 80).</w:t>
      </w:r>
    </w:p>
    <w:p>
      <w:r>
        <w:t>Die Beschwerdegegnerin hat nicht konkret dargelegt, inwiefern die Handlungsweise der Beschwerdeführerin den Tatbestand von Art. 146 StGB erfüllt. Sie wird dies im Rahmen des vorinstanzlichen Verfahrens nachzuholen haben, da die Frage der Verwirkung nach Art. 25 Abs. 2 Satz 2 von Amtes wegen zu klären ist. Hernach ist der Beschwerdeführerin das rechtliche Gehör zu gewähren.</w:t>
      </w:r>
    </w:p>
    <w:p>
      <w:r>
        <w:rPr>
          <w:b/>
        </w:rPr>
        <w:t>E. 6</w:t>
      </w:r>
    </w:p>
    <w:p>
      <w:r>
        <w:t>Die Versicherte rügt schliesslich die Höhe der ihr im vorinstanzlichen Verfahren zugesprochenen Parteientschädigung. Das kantonale Gericht hat sie, nachdem mit der Beschwerde keine Kostennote eingereicht worden war, ermessensweise auf Fr. 850.- festgesetzt. Es erübrigt sich eine Beurteilung des Antrags auf Zusprechung einer Parteientschädigung von mindestens Fr. 4'800.- für das vorinstanzliche Verfahren, weil die Sache zur Neubeurteilung an das kantonale Gericht zurückgewiesen wird.</w:t>
      </w:r>
    </w:p>
    <w:p>
      <w:r>
        <w:rPr>
          <w:b/>
        </w:rPr>
        <w:t>E. 7</w:t>
      </w:r>
    </w:p>
    <w:p>
      <w:r>
        <w:t>Das Verfahren ist kostenpflichtig ( Art. 65 BGG ). Entsprechend seinem Ausgang werden die Gerichtskosten den Parteien je hälftig auferlegt (Art. 65 Abs. 4 lit. a in Verbindung mit Art. 66 Abs. 1 BGG ). Die Mobiliar hat der Versicherten für das bundesgerichtliche Verfahren eine Parteientschädigung zu bezahlen ( Art. 68 Abs. 1 und 2 BGG ); sie selber ist gemäss Art. 68 Abs. 3 BGG nicht entschädigungsberechtigt.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