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117/2014 vom 3. Juli 2014</w:t>
      </w:r>
    </w:p>
    <w:p>
      <w:r>
        <w:t>Bundesgericht, 2014-07-03, DE</w:t>
      </w:r>
    </w:p>
    <w:p>
      <w:r>
        <w:rPr>
          <w:b/>
        </w:rPr>
        <w:t xml:space="preserve">Quelle: </w:t>
      </w:r>
      <w:r>
        <w:t>https://mcp.opencaselaw.ch/entscheid/bger_8C_117_2014</w:t>
      </w:r>
    </w:p>
    <w:p>
      <w:r>
        <w:t>FR: TF 8C 117/2014 du 3 juillet 2014</w:t>
      </w:r>
    </w:p>
    <w:p>
      <w:r>
        <w:t>IT: TF 8C 117/2014 del 3 luglio 2014</w:t>
      </w:r>
    </w:p>
    <w:p>
      <w:pPr>
        <w:pStyle w:val="Heading2"/>
      </w:pPr>
      <w:r>
        <w:t>Regeste</w:t>
      </w:r>
    </w:p>
    <w:p>
      <w:r>
        <w:t>Invalidenversicherung | Invalidenversicherung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2</w:t>
      </w:r>
    </w:p>
    <w:p>
      <w:r>
        <w:t>Von der Durchführung des beantragten zweiten Schriftenwechsels ist abzusehen, da keine Vernehmlassung der IV-Stelle eingeholt wurde, so dass weder prozessual zulässige, für den Verfahrensausgang wesentliche neue Aspekte, zu denen der Versicherte vor der Entscheidfällung angehört werden müsste, vorliegen, noch dient ein zweiter Schriftenwechsel dazu, Anträge und Rügen vorzubringen, die bereits in der Beschwerde selbst hätten gestellt oder vorgebracht werden können und müssen ( Art. 102 BGG ; vgl. Urteil 8C_173/2012 vom 8. Juni 2012 E. 2 mit Hinweis).</w:t>
      </w:r>
    </w:p>
    <w:p>
      <w:r>
        <w:rPr>
          <w:b/>
        </w:rPr>
        <w:t>E. 3</w:t>
      </w:r>
    </w:p>
    <w:p>
      <w:r>
        <w:t>Die Vorinstanz hat die Bestimmungen über den Anspruch auf eine Hilflosenentschädigung ( Art. 9 ATSG ; Art. 42 Abs. 1-3 IVG ; Art. 37 Abs. 3 sowie Art. 38 Abs. 1 und 2 IVV ) und die dazu ergangene Rechtsprechung ( BGE 133 V 450 ; 121 V 88 E. 3 S. 90; 117 V 146 E. 2 S. 148) zutreffend dargelegt. Streitig und zu prüfen ist, ob sie zu Recht die Verfügung der IV-Stelle, mit welcher der Anspruch auf eine Hilflosenentschädigung verneint wurde, bestätigt hat.</w:t>
      </w:r>
    </w:p>
    <w:p>
      <w:r>
        <w:rPr>
          <w:b/>
        </w:rPr>
        <w:t>E. 4</w:t>
      </w:r>
    </w:p>
    <w:p>
      <w:r>
        <w:t>Die Vorinstanz hat gestützt auf die Berichte der Frau Dr. med. C.________, Fachärztin für Allgemeine Medizin, vom 3. und 21. April 2008, der Frau Dr. med. D.________, Fachärztin für Physikalische Medizin und Rehabilitation, vom 5. Februar 2010, des Dr. med. E.________, Facharzt für Neurologie, vom 16. Februar 2010, des Spitals G.________ vom 12. März 2010 und vom 28. April 2010, das Gutachten der Frau Dr. med. B.________ vom 2. September 2008 sowie den Abklärungsbericht vom 16. Februar 2012 in für das Bundesgericht verbindlicher Weise (E. 1.2) festgestellt, dass der Versicherte in keiner der massgebenden Lebensverrichtungen regelmässig und in erheblicher Weise auf Dritthilfe angewiesen ist und auch keiner lebenspraktischen Begleitung bedarf, weshalb kein Anspruch auf eine Hilflosenentschädigung besteht. Daran ändern auch die Einwände des Versicherten nichts. Soweit er geltend machen lässt, die Vorinstanz habe den Sachverhalt willkürlich festgestellt, weil sie mit dem Abklärungsbericht von lediglich 9 statt der tatsächlichen 20 Stunden Hausarbeit der Ehefrau ausging, ist er darauf hinzuweisen, dass die Abklärungsperson bei den 9 Stunden explizit die Zeit für das Kochen und Wäsche waschen ausklammerte. Ebenso unbehelflich ist die Rüge der Missachtung der Abklärungspflicht nach Art. 43 ATSG . Einerseits liegen ärztliche Einschätzungen aus den verschiedensten Fachrichtungen und über den Verlauf von zwei Jahren vor, welche einen mehr oder weniger stationären Gesundheitszustand ausweisen; andererseits ist der Abklärungsbericht vom 16. Februar 2012 überzeugend und nachvollziehbar begründet. In diesem Zusammenhang ist namentlich nicht zu beanstanden, dass die Abklärungsperson im Rahmen der im ganzen Sozialversicherungsbereich geltenden Schadenminderungspflicht ( BGE 129 V 460 E. 4.2 S. 463 mit Hinweis; vgl. auch Kieser, ATSG-Kommentar, 2. Aufl. 2009, N. 48 zu Vorbemerkungen und N. 7 zu Art. 9 ATSG ) bei verschiedenen Lebensverrichtungen darauf hinwies, dass durch den Einsatz einfacher Hilfsmittel die Selbstständigkeit des Versicherten erheblich erhöht werden könnte. Die von ihr vorgeschlagenen Massnahmen stellen denn auch weder einzeln noch in ihrer Gesamtheit eine Unzumutbarkeit dar. Schliesslich muss die geltend gemachte Verletzung von Art. 3 EMRK im Sinne einer erniedrigenden Behandlung nicht weiter geprüft werden, genügt diese Rüge doch den Anforderungen von Art. 106 Abs. 2 BGG nicht.</w:t>
      </w:r>
    </w:p>
    <w:p>
      <w:r>
        <w:rPr>
          <w:b/>
        </w:rPr>
        <w:t>E. 5</w:t>
      </w:r>
    </w:p>
    <w:p>
      <w:r>
        <w:t>Dem Verfahrensausgang entsprechend sind die Gerichtskosten vom Beschwerdeführer als unterliegender Partei zu tragen ( Art. 66 Abs. 1 BGG ). Ihm ist indessen die unentgeltliche Rechtspflege zu gewähren ( Art. 64 BGG ), weil die Bedürftigkeit aktenkundig und die Beschwerde nicht als aussichtslos zu bezeichnen ist sowie die anwaltliche Vertretung geboten war. Es ist indessen auf Art. 64 Abs. 4 BGG hinzuweisen, wonach der Gerichtskasse Ersatz zu leisten sein wird, wenn dies später möglich sein sollte.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