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116/2023 vom 28. Februar 2023</w:t>
      </w:r>
    </w:p>
    <w:p>
      <w:r>
        <w:t>Bundesgericht, 2023-02-28, DE</w:t>
      </w:r>
    </w:p>
    <w:p>
      <w:r>
        <w:rPr>
          <w:b/>
        </w:rPr>
        <w:t xml:space="preserve">Quelle: </w:t>
      </w:r>
      <w:r>
        <w:t>https://mcp.opencaselaw.ch/entscheid/bger_8C_116_2023</w:t>
      </w:r>
    </w:p>
    <w:p>
      <w:r>
        <w:t>FR: TF 8C 116/2023 du 28 février 2023</w:t>
      </w:r>
    </w:p>
    <w:p>
      <w:r>
        <w:t>IT: TF 8C 116/2023 del 28 febbraio 2023</w:t>
      </w:r>
    </w:p>
    <w:p>
      <w:pPr>
        <w:pStyle w:val="Heading2"/>
      </w:pPr>
      <w:r>
        <w:t>Regeste</w:t>
      </w:r>
    </w:p>
    <w:p>
      <w:r>
        <w:t>Arbeitslosenversicherung (Prozessvoraussetzungen) | Arbeitslosenversicherung</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wesensgemäss eine spezifische Auseinandersetzung mit den Nichteintretensgründen ( BGE 123 V 335 ).</w:t>
      </w:r>
    </w:p>
    <w:p>
      <w:r>
        <w:rPr>
          <w:b/>
        </w:rPr>
        <w:t>E. 2</w:t>
      </w:r>
    </w:p>
    <w:p>
      <w:r>
        <w:t>Die Vorinstanz trat im angefochtenen Urteil auf die gegen den Einspracheentscheid des kantonalen Amtes für Wirtschaft und Arbeit vom 21. November 2021 gerichtete Beschwerde wegen unzureichender Begründung nicht ein.</w:t>
      </w:r>
    </w:p>
    <w:p>
      <w:r>
        <w:rPr>
          <w:b/>
        </w:rPr>
        <w:t>E. 3</w:t>
      </w:r>
    </w:p>
    <w:p>
      <w:r>
        <w:t>Damit setzt sich der Beschwerdeführer nicht näher auseinander; lediglich vorzubringen, alle verfügbaren Unterlagen eingereicht zu haben, und unter Hinweis auf die getätigten Arbeitsbemühungen eine Überprüfung der Angelegenheit zu fordern, reicht nicht aus.</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