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8C_116/2022 vom 2. März 2022</w:t>
      </w:r>
    </w:p>
    <w:p>
      <w:r>
        <w:t>Bundesgericht, 2022-03-02, DE</w:t>
      </w:r>
    </w:p>
    <w:p>
      <w:r>
        <w:rPr>
          <w:b/>
        </w:rPr>
        <w:t xml:space="preserve">Quelle: </w:t>
      </w:r>
      <w:r>
        <w:t>https://mcp.opencaselaw.ch/entscheid/bger_8C_116_2022</w:t>
      </w:r>
    </w:p>
    <w:p>
      <w:r>
        <w:t>FR: TF 8C_116/2022 du 2 mars 2022</w:t>
      </w:r>
    </w:p>
    <w:p>
      <w:r>
        <w:t>IT: TF 8C_116/2022 del 2 marzo 2022</w:t>
      </w:r>
    </w:p>
    <w:p>
      <w:pPr>
        <w:pStyle w:val="Heading2"/>
      </w:pPr>
      <w:r>
        <w:t>Volltext</w:t>
      </w:r>
    </w:p>
    <w:p>
      <w:r>
        <w:t>Bundesgericht</w:t>
      </w:r>
    </w:p>
    <w:p>
      <w:r>
        <w:t>Tribunal fédéral</w:t>
      </w:r>
    </w:p>
    <w:p>
      <w:r>
        <w:t>Tribunale federale</w:t>
      </w:r>
    </w:p>
    <w:p>
      <w:r>
        <w:t>Tribunal federal</w:t>
      </w:r>
    </w:p>
    <w:p>
      <w:r>
        <w:t>8C_116/2022</w:t>
      </w:r>
    </w:p>
    <w:p>
      <w:r>
        <w:t>Urteil vom 2.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Unia Arbeitslosenkasse,</w:t>
      </w:r>
    </w:p>
    <w:p>
      <w:r>
        <w:t>Strassburgstrasse 11, 8004 Zürich,</w:t>
      </w:r>
    </w:p>
    <w:p>
      <w:r>
        <w:t>Beschwerdegegnerin.</w:t>
      </w:r>
    </w:p>
    <w:p>
      <w:r>
        <w:t>Gegenstand</w:t>
      </w:r>
    </w:p>
    <w:p>
      <w:r>
        <w:t>Arbeitslosenversicherung (Prozessvoraussetzungen),</w:t>
      </w:r>
    </w:p>
    <w:p>
      <w:r>
        <w:t>Beschwerde gegen das Urteil des Sozialversicherungsgerichts des Kantons Zürich vom 20. Dezember 2021 (AL.2021.00144).</w:t>
      </w:r>
    </w:p>
    <w:p>
      <w:r>
        <w:t>Nach Einsicht</w:t>
      </w:r>
    </w:p>
    <w:p>
      <w:r>
        <w:t>in die Beschwerde vom 16. Februar 2022 (Poststempel) gegen das Urteil des Sozialversicherungsgerichts des Kantons Zürich vom 20. Dezember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144 V 50 E. 4.2; 137 V 57 E. 1.3 und 136 I 65 E. 1.3.1; 134 V 53 E. 3.3 und 133 IV 286 E. 1.4),</w:t>
      </w:r>
    </w:p>
    <w:p>
      <w:r>
        <w:t>dass auch von Beschwerde führenden Laien erwartet werden darf, konkret auf die vorinstanzliche Begründung einzugehen,</w:t>
      </w:r>
    </w:p>
    <w:p>
      <w:r>
        <w:t>dass das kantonale Gericht in Auseinandersetzung mit den Parteivorbringen und in Würdigung der Akten darlegte, weshalb die Beschwerdegegnerin mit Einspracheentscheid vom 18. März 2021 die dem Beschwerdeführer für den Zeitraum vom 29. Januar bis November 2020 bereits ausgerichteten Arbeitslosentaggelder zurückfordern durfte,</w:t>
      </w:r>
    </w:p>
    <w:p>
      <w:r>
        <w:t>dass es dabei den Vorbringen des Beschwerdeführers zum unrechtmässigen Bezug dieser Gelder sein Urteil AL.2020.00150 vom 18. November 2020 entgegen hielt, worin über diese Frage bereits rechtskräftig entschieden worden sei,</w:t>
      </w:r>
    </w:p>
    <w:p>
      <w:r>
        <w:t>dass der Beschwerdeführer letztinstanzlich erneut und alleine die Frage nach der Rechtmässigkeit des Leistungsbezugs diskutieren will, ohne indessen auch nur ansatzweise aufzuzeigen, inwiefern der von der Vorinstanz vertretene Ansatz bundesrechtswidrig sein soll, wonach einem solchen Ansinnen die Rechtskraft des bereits im Urteil AL.2020.00150 vom 18. November 2020 Entschiedenen entgegen steht,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