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8C_116/2013 vom 3. Mai 2013</w:t>
      </w:r>
    </w:p>
    <w:p>
      <w:r>
        <w:t>Bundesgericht, 2013-05-03, DE</w:t>
      </w:r>
    </w:p>
    <w:p>
      <w:r>
        <w:rPr>
          <w:b/>
        </w:rPr>
        <w:t xml:space="preserve">Quelle: </w:t>
      </w:r>
      <w:r>
        <w:t>https://mcp.opencaselaw.ch/entscheid/bger_8C_116_2013</w:t>
      </w:r>
    </w:p>
    <w:p>
      <w:r>
        <w:t>FR: TF 8C_116/2013 du 3 mai 2013</w:t>
      </w:r>
    </w:p>
    <w:p>
      <w:r>
        <w:t>IT: TF 8C_116/2013 del 3 maggio 2013</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Der aufgrund medizinischer Untersuchungen gerichtlich festgestellte Gesundheitszustand und die damit einhergehende Arbeitsfähigkeit betreffen eine Tatfrage ( BGE 132 V 393 E. 3.2 S. 397 ff.). Rechtsverletzungen sind demgegenüber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8C_4/2013 vom 16. April 2013 E.1.2 mit Hinweisen).</w:t>
      </w:r>
    </w:p>
    <w:p>
      <w:r>
        <w:rPr>
          <w:b/>
        </w:rPr>
        <w:t>E. 2</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Das Einbringen von Tatsachen oder Beweismitteln, die sich erst nach dem angefochtenen Entscheid ereignet haben oder entstanden sind (sog. echte Noven), ist vor Bundesgericht unzulässig (Urteil 8C_407/2012 vom 18. Juli 2012 E. 2.1 mit Hinweis).</w:t>
      </w:r>
    </w:p>
    <w:p>
      <w:r>
        <w:t>Es ist nicht ersichtlich und wird nicht näher dargelegt (vgl. Urteil 9C_786/2009 vom 24. Februar 2010 E. 1.2), inwiefern diese Voraussetzung hier mit Blick auf die im Verfahren vor Bundesgericht neu aufgelegten Berichte des Dr. med. S.________, Chefarzt Chirurgie am Spital B.________, vom 5. Februar 2013 und der Dr. med. M.________, Oberärztin Schmerztherapie am Spital C.________, vom 4. Februar 2013 gegeben sind. Sie stellen echte Nova dar, welche im vorliegenden Verfahren unbeachtlich sind.</w:t>
      </w:r>
    </w:p>
    <w:p>
      <w:r>
        <w:rPr>
          <w:b/>
        </w:rPr>
        <w:t>E. 3</w:t>
      </w:r>
    </w:p>
    <w:p>
      <w:r>
        <w:t>Dem letztinstanzlich gestellten Antrag folgend ist vor Bundesgericht streitig, ob der Sachverhalt genügend abgeklärt ist.</w:t>
      </w:r>
    </w:p>
    <w:p>
      <w:r>
        <w:t>Die Bestimmungen und Grundsätze zu den Begriffen der Erwerbsunfähigkeit ( Art. 7 ATSG ) und der Invalidität ( Art. 8 ATSG in Verbindung mit Art. 4 Abs. 1 IVG ), zur Ermittlung des Invaliditätsgrades bei erwerbstätigen Versicherten nach der Einkommensvergleichsmethode ( Art. 16 ATSG ) und bei teilerwerbstätigen Versicherten nach der gemischten Methode ( Art. 28a Abs. 3 IVG ; BGE 133 V 477 E. 6.3 S. 486 f., 504 E. 3.3 S. 507 f.; 130 V 393 E. 3.3 S. 395 f.; 125 V 146 E. 2c S. 150) sowie zur Aufgabe des Arztes im Rahmen der Invaliditätsbemessung ( BGE 132 V 93 E. 4 S. 99; 125 V 256 E. 4 S. 261 f.) wurden im angefochtenen Entscheid zutreffend dargelegt. Darauf wird verwiesen.</w:t>
      </w:r>
    </w:p>
    <w:p>
      <w:r>
        <w:rPr>
          <w:b/>
        </w:rPr>
        <w:t>E. 4.1</w:t>
      </w:r>
    </w:p>
    <w:p>
      <w:r>
        <w:t>Das kantonale Gericht hat eine einlässliche Würdigung der fachärztlichen Unterlagen, insbesondere auch des polydisziplinären Gutachtens des Instituts X.________ vom 14. Februar 2011 und des Verlaufsgutachtens vom 15. Mai 2012 vorgenommen. Dabei gelangte es zum Schluss, diesen sei voller Beweiswert zuzumessen. Sie seien schlüssig und nachvollziehbar, weshalb kein Anlass bestehe, weitere Abklärungen vorzunehmen. Die weiteren medizinischen Unterlagen, im Speziellen die Berichte der Dr. med. T.________ vom 16. Juni 2011 und vom 18. Juli 2012, enthielten weder eine Diagnose noch eine Begründung für die attestierte Arbeitsfähigkeit. Auch die Berichte des Dr. med. V.________ vom 19. August 2011 und vom 20. Juli 2012 - welche sich mit der Einschränkung in der Haushaltsführung befassten - enthielten keine Diagnose, weshalb die Vorinstanz den genannten Berichten keine Beweiskraft zumass. Die Versicherte sei für körperlich leichte, adaptierte Tätigkeiten zu 80 % arbeitsfähig. Gemäss dem ebenfalls voll beweiskräftigen Abklärungsbericht der IV-Stelle vom 15. Juni 2009 betrage die Einschränkung im Haushalt 13 %. Bei einer hypothetischen Erwerbstätigkeit von 55 % und einer entsprechenden Betätigung im Haushalt von 45 % - wovon abzuweichen kein Anlass bestehe - betrage der Invaliditätsgrad 6 %, weshalb kein Anspruch auf eine Invalidenrente bestehe. Auch wenn man von der attestierten medizinisch-theoretischen Behinderung in der häuslichen Tätigkeit von 20 % ausgehe, ändere das am ablehnenden Resultat nichts.</w:t>
      </w:r>
    </w:p>
    <w:p>
      <w:r>
        <w:rPr>
          <w:b/>
        </w:rPr>
        <w:t>E. 4.2</w:t>
      </w:r>
    </w:p>
    <w:p>
      <w:r>
        <w:t>Die Tatsachenfeststellungen des kantonalen Gerichts, namentlich die aus den medizinischen Akten gewonnene Erkenntnis, wonach eine Arbeits- und Leistungsfähigkeit in einer körperlich angepassten Tätigkeit von 80 %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w:t>
      </w:r>
    </w:p>
    <w:p>
      <w:r>
        <w:rPr>
          <w:b/>
        </w:rPr>
        <w:t>E. 4.3</w:t>
      </w:r>
    </w:p>
    <w:p>
      <w:r>
        <w:t>Daran ändern auch die Einwände der Beschwerdeführerin nichts. Sie legt mit keinem Wort dar, inwiefern die erstinstanzlichen Sachverhaltsfeststellungen offensichtlich unrichtig seien oder auf einer Rechtsverletzung im Sinne von Art. 95 BGG beruhten. Sie beschränkt sich auf eine Kritik der vorinstanzlichen Sachverhaltsfeststellung bezüglich des hypothetischen Pensums einer ausserhäuslichen Tätigkeit im Rahmen der Anwendung der gemischten Methode, der Einschränkung in der Haushaltsführung und der Würdigung der verschiedenen Arztberichte und Gutachten. Die Vorbringen, die sich mit den Gutachten des Instituts X.________ und damit mit der vorinstanzlichen Beweiswürdigung befassen, sind daher als unzulässige appellatorische Kritik am angefochtenen Entscheid nicht weiter zu beachten. Sie sind jedenfalls nicht geeignet, eine Rechtsverletzung gemäss Art. 95 f. BGG als erstellt oder die vorinstanzliche Feststellung des Sachverhalts als mangelhaft im Sinne von Art. 97 Abs. 1 und Art. 105 Abs. 2 BGG erscheinen zu lassen. Die Vorinstanz hat konkret und detailliert begründet, weshalb sie auf die Angaben der Gutachter des Instituts X.________ und nicht auf diejenigen der behandelnden Ärzte abgestellt hat, und sich damit bereits mit den auch letztinstanzlich vorgebrachten Einwänden auseinandergesetzt. Ebenso hat sie begründet festgestellt, dass von weiteren Abklärungen in Form eines Obergutachtens keine entscheidrelevanten neuen Erkenntnisse zu erwarten seien. Die Beschwerdeführerin legt nicht dar, inwiefern diese Feststellung bundesrechtswidrig sein sollte und begründet insbesondere nicht, weshalb der Untersuchungsgrundsatz verletzt worden sein soll.</w:t>
      </w:r>
    </w:p>
    <w:p>
      <w:r>
        <w:rPr>
          <w:b/>
        </w:rPr>
        <w:t>E. 5</w:t>
      </w:r>
    </w:p>
    <w:p>
      <w:r>
        <w:t>Die Beschwerde erweist sich als offensichtlich unbegründet, weshalb sie im vereinfachten Verfahren nach Art. 109 BGG - ohne Durchführung des Schriftenwechsels und mit summarischer Begründung - erledigt wird.</w:t>
      </w:r>
    </w:p>
    <w:p>
      <w:r>
        <w:rPr>
          <w:b/>
        </w:rPr>
        <w:t>E. 6</w:t>
      </w:r>
    </w:p>
    <w:p>
      <w:r>
        <w:t>Dem Ausgang des Verfahrens entsprechend hat die Beschwerdeführerin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