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115/2024 vom 2. April 2024</w:t>
      </w:r>
    </w:p>
    <w:p>
      <w:r>
        <w:t>Bundesgericht, 2024-04-02, DE</w:t>
      </w:r>
    </w:p>
    <w:p>
      <w:r>
        <w:rPr>
          <w:b/>
        </w:rPr>
        <w:t xml:space="preserve">Quelle: </w:t>
      </w:r>
      <w:r>
        <w:t>https://mcp.opencaselaw.ch/entscheid/bger_8C_115_2024</w:t>
      </w:r>
    </w:p>
    <w:p>
      <w:r>
        <w:t>FR: TF 8C 115/2024 du 2 avril 2024</w:t>
      </w:r>
    </w:p>
    <w:p>
      <w:r>
        <w:t>IT: TF 8C 115/2024 del 2 aprile 2024</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w:t>
      </w:r>
    </w:p>
    <w:p>
      <w:r>
        <w:rPr>
          <w:b/>
        </w:rPr>
        <w:t>E. 2</w:t>
      </w:r>
    </w:p>
    <w:p>
      <w:r>
        <w:t>Mit Vorbescheid vom 13. Februar 2023 kündigte die IV-Stelle des Kantons Zug an, dass der Beschwerdeführer gestützt auf die mit interdisziplinärem Gutachten festgestellte Arbeitsunfähigkeit von 42 % und einem Invaliditätsgrad von 58 % ab 1. August 2020 Anspruch auf eine halbe Invalidenrente habe. Im Weiteren lehnte sie dessen Gesuch um unentgeltliche Rechtsverbeiständung im Verwaltungsverfahren am 23. Juni 2023 verfügungsweise ab. Die gegen die Verfügung vom 23. Juni 2023 erhobene Beschwerde hat das Verwaltungsgericht des Kantons Zug mit Urteil vom 29. Januar 2024 abgewiesen. Es hat seinen Entscheid damit begründet, dass es sich nicht um einen besonders komplexen Fall handeln würde. Hinzu komme, dass sich der Beschwerdeführer mit Blick auf den bisherigen Verlauf des Verwaltungsverfahrens durchaus zurecht finde. Ausserdem könne sich dieser mit dem Beizug von Fach- und Vertrauensleuten sozialer Institutionen oder unentgeltlicher Rechtsberatungsstellen behelfen. Die Vorinstanz hat sich weiter mit dem Übereinkommen vom 13. Dezember 2006 über die Rechte von Menschen mit Behinderungen (BRK; SR 0.109) auseinandergesetzt und erwogen, daraus könne der Beschwerdeführer für das vorliegende Verfahren nichts zu seinen Gunsten ableiten. Letztlich ist sie zum Schluss gelangt, dass die sachliche Gebotenheit einer anwaltlichen Vertretung im Verwaltungsverfahren zu verneinen sei.</w:t>
      </w:r>
    </w:p>
    <w:p>
      <w:r>
        <w:rPr>
          <w:b/>
        </w:rPr>
        <w:t>E. 3</w:t>
      </w:r>
    </w:p>
    <w:p>
      <w:r>
        <w:t>Mit dem Vorbringen, das kantonale Gericht habe den Bericht der Vereinten Nationen über die BRK mit keinem Wort gewürdigt, legt der Beschwerdeführer nicht hinreichend dar, weshalb dieses - nach seiner Befassung mit dem betroffenen Übereinkommen - gegen den angerufenen Anspruch auf rechtliches Gehör ( Art. 29 Abs. 2 BV ) verstossen haben sollte. Was er darüber hinaus vorbringt, geht nicht über eine letztinstanzlich unzulässige appellatorische Kritik hinaus. So weist er namentlich auf ein Scheidungsverfahren sowie auf Kinderbelange hin, zeigt damit jedoch nicht genügend auf, inwiefern das Gericht mit offensichtlich unrichtigen oder unvollständigen Feststellungen zum Sachverhalt in Willkür verfallen sein (dazu Näheres: BGE 146 IV 88 E. 1.3.1 f.; 140 III 115 E. 2; je mit Hinweisen) oder einen anderen Beschwerdegrund ( Art. 95 ff. BGG ) gesetzt haben sollte. Ebenso wenig reicht es aus zu rügen, die unentgeltliche Rechtspflege sei nicht Aufgabe sozialer Institutionen, sondern gemäss Art. 27 ATSG Sache des Sozialversicherers. Damit bringt er angesichts der bestehenden Rechtsprechung (vgl. etwa Urteil 8C_996/2012 vom 28. März 2013 E. 4.3.2) nicht hinreichend vor, weshalb das von der Vorinstanz betreffend den Beizug von Fach- und Vertrauensleuten sozialer Institutionen oder unentgeltlicher Rechtsberatungsstellen Erwogene bundesrechtswidrig sein sollte. Allein auf Willkür zu schliessen, weil das kantonale Gericht dem Rechtsverständnis des Beschwerdeführers nicht gefolgt ist, reicht nicht aus.</w:t>
      </w:r>
    </w:p>
    <w:p>
      <w:r>
        <w:rPr>
          <w:b/>
        </w:rPr>
        <w:t>E. 4</w:t>
      </w:r>
    </w:p>
    <w:p>
      <w:r>
        <w:t>Da dieser Begründungsmangel offensichtlich ist, führt dies zu einem Nichteintreten auf das Rechtsmittel im vereinfachten Verfahren nach Art. 108 Abs. 1 lit. b BGG .</w:t>
      </w:r>
    </w:p>
    <w:p>
      <w:r>
        <w:rPr>
          <w:b/>
        </w:rPr>
        <w:t>E. 5</w:t>
      </w:r>
    </w:p>
    <w:p>
      <w:r>
        <w:t>Dem gestellten Gesuch um unentgeltliche Rechtspflege für das bundesgerichtliche Verfahren kann wegen Aussichtslosigkeit der Rechtsbegehren nicht stattgegeben werden ( Art. 64 Abs. 1 BGG ). Indessen kann in Anwendung von Art. 66 Abs. 1 Satz 2 BGG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