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115/2023 vom 28. Februar 2023</w:t>
      </w:r>
    </w:p>
    <w:p>
      <w:r>
        <w:t>Bundesgericht, 2023-02-28, DE</w:t>
      </w:r>
    </w:p>
    <w:p>
      <w:r>
        <w:rPr>
          <w:b/>
        </w:rPr>
        <w:t xml:space="preserve">Quelle: </w:t>
      </w:r>
      <w:r>
        <w:t>https://mcp.opencaselaw.ch/entscheid/bger_8C_115_2023</w:t>
      </w:r>
    </w:p>
    <w:p>
      <w:r>
        <w:t>FR: TF 8C 115/2023 du 28 février 2023</w:t>
      </w:r>
    </w:p>
    <w:p>
      <w:r>
        <w:t>IT: TF 8C 115/2023 del 28 febbraio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21. Dezember 2022 den Einspracheentscheid der Beschwerdegegnerin vom 7. September 2022, worin der Beschwerdeführer für die Dauer von 22 Tagen in der Anspruchsberechtigung auf Arbeitslosenentschädigung eingestellt wurde. Als Einstellungsgrund wurde der freiwillige Verzicht auf die Verlängerung des per 30. April 2022 gekündigten Arbeitsverhältnisses um einen Monat zufolge Krankheit während der Kündigungsfrist ( Art. 336c Abs. 1 lit. b OR ) genannt, was einen Anwendungsfall von Art. 30 Abs. 1 lit. a BGG darstelle.</w:t>
      </w:r>
    </w:p>
    <w:p>
      <w:r>
        <w:rPr>
          <w:b/>
        </w:rPr>
        <w:t>E. 3</w:t>
      </w:r>
    </w:p>
    <w:p>
      <w:r>
        <w:t>Die Vorbringen des Beschwerdeführers erschöpfen sich in einer letztinstanzlich unzulässigen appellatorischen Kritik an der vorinstanzlichen Wertung der Parteivorbringen und Belege. Inwiefern das kantonale Gericht mit der dabei bejahten Zumutbarkeit des Verbleibs an der bisherigen Arbeitsstelle bis zum Ablauf des Kündigungsschutzes in Willkür verfallen (dazu Näheres in BGE 146 IV 88 E. 1.3.1 mit Hinweisen) oder einen anderen Beschwerdegrund ( Art. 95 ff. BGG ) gesetzt haben soll, legt der Beschwerdeführer nicht dar. Der Umstand allein, dass es seinen Vorbringen und seinem Rechtsverständnis nicht gefolgt ist, reicht dafür nicht aus.</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