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8C_115/2011 vom 26. Januar 2012</w:t>
      </w:r>
    </w:p>
    <w:p>
      <w:r>
        <w:t>Bundesgericht, 2012-01-26, FR</w:t>
      </w:r>
    </w:p>
    <w:p>
      <w:r>
        <w:rPr>
          <w:b/>
        </w:rPr>
        <w:t xml:space="preserve">Quelle: </w:t>
      </w:r>
      <w:r>
        <w:t>https://mcp.opencaselaw.ch/entscheid/bger_8C_115_2011</w:t>
      </w:r>
    </w:p>
    <w:p>
      <w:r>
        <w:t>FR: TF 8C_115/2011 du 26 janvier 2012</w:t>
      </w:r>
    </w:p>
    <w:p>
      <w:r>
        <w:t>IT: TF 8C_115/2011 del 26 gennaio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CNA était fondée, par sa décision sur opposition du 3 décembre 2007, à supprimer le droit du recourant à des prestations (traitement médical et indemnité journalière) à compter du 1er novembre précédent.</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8C_39/2010 du 7 septembre 2010 consid. 2; 8C_584/2009 du 2 juillet 2010 consid. 4).</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4.1</w:t>
      </w:r>
    </w:p>
    <w:p>
      <w:r>
        <w:t>La CNA a nié l'existence d'un lien de causalité adéquate entre l'accident - qu'elle a classé à la limite inférieure de la catégorie des accidents de gravité moyenne - et les troubles sans substrat organique persistant après le 31 octobre 2007. Se référant à la jurisprudence applicable en cas de traumatisme de type "coup du lapin" à la colonne cervicale, de traumatisme analogue à la colonne cervicale ou de traumatisme cranio-cérébral ( ATF 134 V 109 consid. 10.3 p. 130; 117 V 359 consid. 6a p. 367 et 369 consid. 4b p. 383), l'intimée a considéré que seul était réalisé le critère touchant à l'importance de l'incapacité de travail, ce qui était insuffisant pour admettre le caractère adéquat du lien de causalité.</w:t>
      </w:r>
    </w:p>
    <w:p>
      <w:r>
        <w:t>La juridiction cantonale a confirmé la décision sur opposition de la CNA, considérant que la suppression du droit aux prestations n'était pas contraire au droit compte tenu des critères jurisprudentiels applicables en cas de traumatisme de type "coup du lapin".</w:t>
      </w:r>
    </w:p>
    <w:p>
      <w:r>
        <w:rPr>
          <w:b/>
        </w:rPr>
        <w:t>E. 4.2</w:t>
      </w:r>
    </w:p>
    <w:p>
      <w:r>
        <w:t>En l'occurrence, il est indéniable que le recourant ne souffre pas d'un déficit organique objectivable en relation avec le mécanisme d'accélération dont il a été victime le 18 septembre 2006. D'ailleurs, ce point ne fait l'objet d'aucune controverse entre les parties.</w:t>
      </w:r>
    </w:p>
    <w:p>
      <w:r>
        <w:rPr>
          <w:b/>
        </w:rPr>
        <w:t>E. 4.3.1</w:t>
      </w:r>
    </w:p>
    <w:p>
      <w:r>
        <w:t>Le recourant fait valoir que les critères déterminants pour admettre l'existence d'un lien de causalité adéquate entre l'accident et les troubles sans substrat organique persistant après le 31 octobre 2007 sont en l'occurrence réalisés.</w:t>
      </w:r>
    </w:p>
    <w:p>
      <w:r>
        <w:rPr>
          <w:b/>
        </w:rPr>
        <w:t>E. 4.3.2</w:t>
      </w:r>
    </w:p>
    <w:p>
      <w:r>
        <w:t>Dans un arrêt ATF 134 V 109 ,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w:t>
      </w:r>
    </w:p>
    <w:p>
      <w:r>
        <w:t>les circonstances concomitantes particulièrement dramatiques ou le caractère particulièrement impressionnant de l'accident (inchangé);</w:t>
      </w:r>
    </w:p>
    <w:p>
      <w:r>
        <w:t>la gravité ou la nature particulière des lésions (inchangé);</w:t>
      </w:r>
    </w:p>
    <w:p>
      <w:r>
        <w:t>l'administration prolongée d'un traitement médical spécifique et pénible (formulation modifiée);</w:t>
      </w:r>
    </w:p>
    <w:p>
      <w:r>
        <w:t>l'intensité des douleurs (formulation modifiée);</w:t>
      </w:r>
    </w:p>
    <w:p>
      <w:r>
        <w:t>les erreurs dans le traitement médical entraînant une aggravation notable des séquelles de l'accident (inchangé);</w:t>
      </w:r>
    </w:p>
    <w:p>
      <w:r>
        <w:t>les difficultés apparues au cours de la guérison et les complications importantes (inchangé);</w:t>
      </w:r>
    </w:p>
    <w:p>
      <w:r>
        <w:t>l'importance de l'incapacité de travail en dépit des efforts reconnaissables de l'assuré (formulation modifiée).</w:t>
      </w:r>
    </w:p>
    <w:p>
      <w:r>
        <w:rPr>
          <w:b/>
        </w:rPr>
        <w:t>E. 4.3.3</w:t>
      </w:r>
    </w:p>
    <w:p>
      <w:r>
        <w:t>En l'espèce, le recourant ne conteste pas le point de vue de la CNA selon lequel l'accident doit être classé à la limite inférieure de la catégorie des accidents de gravité moyenne. Il n'y a pas lieu de s'écarter de cette appréciation en dépit de ce que laisse entendre le jugement attaqué, lequel, sans procéder formellement à une classification de l'événement en cause, mentionne un "accident somme toute banal".</w:t>
      </w:r>
    </w:p>
    <w:p>
      <w:r>
        <w:rPr>
          <w:b/>
        </w:rPr>
        <w:t>E. 4.3.4</w:t>
      </w:r>
    </w:p>
    <w:p>
      <w:r>
        <w:t>En ce qui concerne les critères déterminants, le recourant fait valoir que les lésions subies sont graves et d'une nature particulière. Il se réfère pour cela à un rapport d'expertise privée du docteur F.________, médecin-directeur au Département de neurologie de l'Hôpital Z.________ (du 31 mars 2008), lequel a fait état d'une dystonie cervicale, avec latérocolis droit, post-traumatique (diagnostic différentiel: trouble de conversion ou somatoforme), de cervicalgies séquellaires à une distorsion cervicale, d'un épisode dépressif de degré moyen, de troubles du sommeil et de régression psychique et ralentissement neuropsychologique sévère.</w:t>
      </w:r>
    </w:p>
    <w:p>
      <w:r>
        <w:t>Le point de vue du recourant est mal fondé. Selon la jurisprudence, le diagnostic de distorsion cervicale ne suffit pas, en soi, pour conclure à la réalisation du critère de la gravité ou de la nature particulière des lésions. Il faut encore que les douleurs caractéristiques d'une atteinte de ce type soient particulièrement graves ou qu'il existe des circonstances spécifiques qui influencent le tableau clinique ( ATF 134 V 109 consid. 10.2.2 p. 127 s. et les références), ce qui n'est pas le cas en l'espèce. Par ailleurs, l'assuré n'a subi, outre la distorsion cervicale, aucune lésion de quelque importance lors de l'accident.</w:t>
      </w:r>
    </w:p>
    <w:p>
      <w:r>
        <w:rPr>
          <w:b/>
        </w:rPr>
        <w:t>E. 4.3.5</w:t>
      </w:r>
    </w:p>
    <w:p>
      <w:r>
        <w:t>En outre, le recourant est d'avis que le critère jurisprudentiel de l'intensité des douleurs est réalisé. Il se réfère pour cela à leur incidence sur le déroulement de sa vie quotidienne, tel qu'il ressort d'une description d'une journée-type, consignée dans le rapport du docteur F.________ du 31 mars 2008.</w:t>
      </w:r>
    </w:p>
    <w:p>
      <w:r>
        <w:t>On ne saurait toutefois déduire de la description en cause que les douleurs subies par l'intéressé revêtent l'intensité exigée par la jurisprudence (cf. ATF 134 V 109 consid. 10.2.4 p. 128). Le point de vue du recourant se révèle ainsi mal fondé.</w:t>
      </w:r>
    </w:p>
    <w:p>
      <w:r>
        <w:rPr>
          <w:b/>
        </w:rPr>
        <w:t>E. 4.3.6</w:t>
      </w:r>
    </w:p>
    <w:p>
      <w:r>
        <w:t>Par ailleurs, il ne ressort pas du dossier, contrairement à l'avis du recourant, que des difficultés sont apparues au cours de la guérison ni que l'évolution du cas a été marquée par des difficultés importantes.</w:t>
      </w:r>
    </w:p>
    <w:p>
      <w:r>
        <w:rPr>
          <w:b/>
        </w:rPr>
        <w:t>E. 4.3.7</w:t>
      </w:r>
    </w:p>
    <w:p>
      <w:r>
        <w:t>En ce qui concerne le critère de l'importance de l'incapacité de travail,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 ATF 134 V 109 consid. 10.2.7 p. 129 s.).</w:t>
      </w:r>
    </w:p>
    <w:p>
      <w:r>
        <w:t>En l'espèce, le recourant a tenté à deux reprises (les 9 novembre 2006 et 12 mars 2007) de reprendre son activité à raison de 50 %. Il a dû toutefois l'interrompre après quelques semaines, voire quelques jours. En l'occurrence, le dossier ne permet pas d'établir si l'intéressé a fait tout ce qui était en son pouvoir pour reprendre une activité. Ce point peut toutefois rester indécis dès lors que, même si l'on admet que le critère de l'importance de l'incapacité de travail est réalisé, ce critère ne permet pas, à lui seul, d'admettre l'existence d'un lien de causalité adéquate dans le cas d'un accident situé à la limite inférieure de la catégorie des accidents de gravité moyenne.</w:t>
      </w:r>
    </w:p>
    <w:p>
      <w:r>
        <w:rPr>
          <w:b/>
        </w:rPr>
        <w:t>E. 4.4</w:t>
      </w:r>
    </w:p>
    <w:p>
      <w:r>
        <w:t>Vu ce qui précède, l'intimée était fondée, par sa décision sur opposition du 3 décembre 2007, à supprimer le droit du recourant à des prestations de l'assurance-accidents à compter du 1er novembre précédent.</w:t>
      </w:r>
    </w:p>
    <w:p>
      <w:r>
        <w:t>Le jugement entrepris n'est dès lors pas critiquable dans son résultat et le recours se révèle ainsi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