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8C_114/2023 vom 1. März 2023</w:t>
      </w:r>
    </w:p>
    <w:p>
      <w:r>
        <w:t>Bundesgericht, 2023-03-01, DE</w:t>
      </w:r>
    </w:p>
    <w:p>
      <w:r>
        <w:rPr>
          <w:b/>
        </w:rPr>
        <w:t xml:space="preserve">Quelle: </w:t>
      </w:r>
      <w:r>
        <w:t>https://mcp.opencaselaw.ch/entscheid/bger_8C_114_2023</w:t>
      </w:r>
    </w:p>
    <w:p>
      <w:r>
        <w:t>FR: TF 8C_114/2023 du 1 mars 2023</w:t>
      </w:r>
    </w:p>
    <w:p>
      <w:r>
        <w:t>IT: TF 8C_114/2023 del 1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11. Januar 2023 den Einspracheentscheid des Beschwerdegegners vom 21. Juli 2022 und erörterte dabei unter Verweis auf die massgeblichen Gesetzesbestimmungen und die Rechtsprechung ( Art. 25 Abs. 1 ATSG ; BGE 138 V 218 E. 4 mit Hinweis), weshalb der Erlass der Rückforderung der unrechtmässig zu viel bezogenen Kurzarbeitsentschädigung für die Monate September bis November 2020 von Fr. 17'150.10 ausser Frage steht. Demnach hätte die Beschwerdeführerin wegen des unmissverständlichen Hinweises in den Antragsformularen bei gebotener Sorgfalt die fehlende Bezugsberechtigung für Personen in arbeitgeberähnlicher Stellung für die fragliche Zeit erkennen müssen; genauso klar hätte es ihr sein müssen, dass der als einziges Verwaltungsratsmitglied mit Einzelunterschrift im Handelsregister Eingetragene unter diesen Personenkreis fällt. Weiter führte das kantonale Gericht unter Verweis auf die zum Vertrauensschutz ergangene Rechtsprechung ( BGE 130 I 26 E. 8.1; 111 Ib 116 E. 4; siehe auch BGE 143 V 95 E. 3.6.2) aus, selbst wenn der Verwaltung in diesem Zusammenhang ein Fehlverhalten angelastet werden könnte, dieses an der anfänglich fehlenden Gutgläubigkeit nichts ändern würde.</w:t>
      </w:r>
    </w:p>
    <w:p>
      <w:r>
        <w:rPr>
          <w:b/>
        </w:rPr>
        <w:t>E. 3</w:t>
      </w:r>
    </w:p>
    <w:p>
      <w:r>
        <w:t>Die Vorbringen der Beschwerdeführerin gehen nicht über eine letztinstanzlich unzulässige appellatorische Kritik hinaus. Insbesondere genügt es nicht, den Geschehensablauf lediglich aus eigener Sicht zu schildern und darüber hinaus das angeblich massive Fehlverhalten der Verwaltung dem eigenen gegenüberzustellen ohne auf das von der Vorinstanz dazu Erwogene näher einzugehen.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