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8C_114/2017 vom 11. Juli 2017</w:t>
      </w:r>
    </w:p>
    <w:p>
      <w:r>
        <w:t>Bundesgericht, 2017-07-11, DE</w:t>
      </w:r>
    </w:p>
    <w:p>
      <w:r>
        <w:rPr>
          <w:b/>
        </w:rPr>
        <w:t xml:space="preserve">Quelle: </w:t>
      </w:r>
      <w:r>
        <w:t>https://mcp.opencaselaw.ch/entscheid/bger_8C_114_2017</w:t>
      </w:r>
    </w:p>
    <w:p>
      <w:r>
        <w:t>FR: TF 8C_114/2017 du 11 juillet 2017</w:t>
      </w:r>
    </w:p>
    <w:p>
      <w:r>
        <w:t>IT: TF 8C_114/2017 del 11 luglio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auch auf dem Gebiet der Geldleistungen der Militär- und Unfallversicherung ausgeschlossen (Urteile 8C_622/2016 vom 21. Dezember 2016 E. 4.1; 8C_548/2010 vom 23. Dezember 2010 E. 1 mit Hinweisen).</w:t>
      </w:r>
    </w:p>
    <w:p>
      <w:r>
        <w:rPr>
          <w:b/>
        </w:rPr>
        <w:t>E. 2.1</w:t>
      </w:r>
    </w:p>
    <w:p>
      <w:r>
        <w:t>Das kantonale Gericht hat die rechtlichen Grundlagen betreffend den Anspruch auf eine Invalidenrente ( Art. 18 Abs. 1 UVG in Verbindung mit Art. 8 Abs. 1 ATSG ) und die Bemessung des Invaliditätsgrads nach der Einkommensvergleichsmethode ( Art. 16 ATSG ) zutreffend dargelegt. Gleiches gilt für die Ermittlung des ohne Invalidität erzielbaren Einkommens (Valideneinkommen; BGE 135 V 58 E. 3.1 S. 59), die Festsetzung des trotz Gesundheitsschädigung zumutbarerweise noch erzielbaren Einkommens (Invalideneinkommen) nach den vom Bundesamt für Statistik (BFS) in der Lohnstrukturerhebung (LSE) ermittelten Tabellenlöhnen und die von diesen zulässigen Abzüge ( BGE 135 V 297 E. 5.2 S. 301). Darauf wird verwiesen.</w:t>
      </w:r>
    </w:p>
    <w:p>
      <w:r>
        <w:rPr>
          <w:b/>
        </w:rPr>
        <w:t>E. 2.2</w:t>
      </w:r>
    </w:p>
    <w:p>
      <w:r>
        <w:t>Die Vorinstanz ging gestützt auf die Feststellungen des Kreisarztes Prof. Dr. med. C.________ im Bericht vom 17. November 2014 davon aus, dass die Beschwerdegegnerin in einer leidensangepassten Tätigkeit über eine Restarbeitsfähigkeit von 100 % verfügt. Dies ist ebenso unbestritten wie das von ihr festgesetzte Valideneinkommen von Fr. 62'264.- und das als Basis für die Berechnung des Invalideneinkommens herangezogene statistische Einkommen von Fr. 59'409.15 (gemäss LSE-Tabelle 2012 TA1, Total der Wirtschaftszweige, Kompetenzniveau 2, Frauen). Strittig und zu prüfen bleibt einzig, ob das kantonale Gericht Bundesrecht verletzt hat, indem es den von der Beschwerdeführerin gewährten leidensbedingten Abzug von fünf auf zehn Prozent erhöht hat.</w:t>
      </w:r>
    </w:p>
    <w:p>
      <w:r>
        <w:rPr>
          <w:b/>
        </w:rPr>
        <w:t>E. 3.1</w:t>
      </w:r>
    </w:p>
    <w:p>
      <w:r>
        <w:t>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 vgl. auch Urteil 8C_253/2017 vom 29. Juni 2017 E. 4.3.2).</w:t>
      </w:r>
    </w:p>
    <w:p>
      <w:r>
        <w:rPr>
          <w:b/>
        </w:rPr>
        <w:t>E. 3.2</w:t>
      </w:r>
    </w:p>
    <w:p>
      <w:r>
        <w:t>Ob ein behinderungsbedingt oder anderweitig begründeter Abzug vom Tabellenlohn vorzunehmen ist, stellt eine frei überprüfbare Rechtsfrage dar ( BGE 132 V 393 E. 3.3 S. 399; Urteil 8C_604/2011 vom 23. Januar 2012 E. 4.2.1). Die Festlegung der Höhe eines solchen Leidensabzugs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 Art. 95 lit. a BGG ) Ermessensbetätigung ( BGE 132 V 393 E. 2.2 S. 396 und E. 3.3 S. 399).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zum Ganzen: Urteil 8C_64/2008 vom 4. Februar 2009 E. 3.2).</w:t>
      </w:r>
    </w:p>
    <w:p>
      <w:r>
        <w:rPr>
          <w:b/>
        </w:rPr>
        <w:t>E. 3.3</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 Aus dem Gesagten folgt, dass das kantonale Gericht bei der Überprüfung der Ermessensausübung durch die Verwaltung betreffend die Festlegung des Abzugs vom Invalideneinkommen seine Aufmerksamkeit auf die verschiedenen Lösungen zu richten hat, die sich der Verwaltung anboten. Es hat sich ein Urteil darüber zu bilden, ob ein höherer oder tieferer Abzug (aber begrenzt auf 25 %) angemessener erscheine und sich aus einem triftigen Grund aufdränge, ohne jedoch sein eigenes Ermessen an die Stelle desjenigen der Verwaltung zu setzen ( BGE 137 V 71 E. 5.2 S. 74).</w:t>
      </w:r>
    </w:p>
    <w:p>
      <w:r>
        <w:rPr>
          <w:b/>
        </w:rPr>
        <w:t>E. 4.1</w:t>
      </w:r>
    </w:p>
    <w:p>
      <w:r>
        <w:t>Die Versicherung hatte einen Abzug von 5 % für leidensbedingte Einschränkungen gewährt. Demgegenüber erwog das kantonale Gericht, Prof. Dr. med. C.________ habe im Bericht vom 17. November 2014 klargestellt, dass die Versicherte Überkopfarbeiten grundsätzlich zu vermeiden habe, ihr das Heben und Tragen von Lasten über 5 kg am ausgestreckten Arm nicht mehr möglich sei, Vibrationsbelastungen ausgeschlossen und die noch möglichen leichten bis mittelschweren Lasten über einen kurzen Hebel zu verrichten seien. Bei dieser medizinischen Ausgangslage sei die Versicherte aufgrund des unfallbedingten Schulterleidens in der Auswahl der Arbeiten verhältnismässig stark eingeschränkt. Sie sei für gewisse Aufgaben auf die Hilfe von Drittpersonen angewiesen oder benötige mehr Zeit. Zu denken sei namentlich an eine Tätigkeit im Verkauf, wo es häufig Regale aufzufüllen gelte und Waren getragen werden müssten. Bei einer Bürotätigkeit müssten ebenfalls öfters Akten transportiert oder Papierpakete gehoben werden. Ein fünfprozentiger Leidensabzug trage all dem nicht gebührend Rechnung. Es sei daher eine leidensbedingte Reduktion des Tabellenlohns um 10 % angemessen.</w:t>
      </w:r>
    </w:p>
    <w:p>
      <w:r>
        <w:rPr>
          <w:b/>
        </w:rPr>
        <w:t>E. 4.2</w:t>
      </w:r>
    </w:p>
    <w:p>
      <w:r>
        <w:t>Die Beschwerdeführerin verweist zunächst auf die bundesgerichtliche Rechtsprechung, wonach ein leidensbedingter Abzug sich nicht schon damit begründen lasse, dass der in Betracht fallende Arbeitsmarkt gesundheitsbedingt begrenzt sei, sondern sich ein Abzug nur rechtfertige, wenn die versicherte Person auch im Rahmen einer von den Ärzten als geeignet erachteten Tätigkeit in der Leistungsfähigkeit beeinträchtigt sei und deshalb mit einem reduzierten Lohn zu rechnen habe (Urteil 8C_536/2010 vom 22. Oktober 2010 E. 2.5 mit Hinweisen; vgl. auch Urteil 9C_826/2015 vom 13. April 2016 E. 3.2.1). Lasse ein Umstand aber keinen Abzug zu, könne er umso weniger zur Begründung einer Erhöhung des Abzugs herangezogen werden. Dieser Argumentation kann hier nicht gefolgt werden. Denn einerseits hatte bereits die Beschwerdeführerin selbst aufgrund der leidensbedingten Einschränkungen einen Abzug gewährt. Andererseits zeigte das kantonale Gericht auf, dass die Versicherte auch in grundsätzlich zumutbaren Tätigkeiten (z.B. Verkauf oder Büroarbeit) wegen der Unfallfolgen nicht mehr uneingeschränkt leistungsfähig ist. Die Ausführungen der Vorinstanz, wonach die Beschwerdegegnerin für solche Tätigkeiten mehr Zeit oder die Unterstützung von Dritten benötige, sowie die zur Verdeutlichung angeführten Beispiele ergeben sich zwar, wie die Beschwerdeführerin festhält, nicht unmittelbar aus den Akten, lassen sich aber ohne Weiteres aus dem kreisärztlichen Zumutbarkeitsprofil ableiten und sind nicht zu beanstanden. An dieser Einschätzung ändert auch nichts, dass die Vorinstanz (wie die Beschwerdeführerin zutreffend festhält) den kreisärztlichen Bericht in der den Abzug betreffenden Erwägung nicht vollständig korrekt wiedergab, indem sie davon sprach, dass die Beschwerdegegnerin Überkopfarbeiten grundsätzlich zu vermeiden habe, während nach dem Kreisarzt nur häufige und repetitive Überkopfarbeiten zu unterbleiben hätten, wurde der Bericht doch an anderer Stelle richtig zitiert.</w:t>
      </w:r>
    </w:p>
    <w:p>
      <w:r>
        <w:rPr>
          <w:b/>
        </w:rPr>
        <w:t>E. 4.3</w:t>
      </w:r>
    </w:p>
    <w:p>
      <w:r>
        <w:t>Wie eben erwähnt anerkannte auch die Beschwerdeführerin leidensbedingte Einschränkungen, die einen Abzug rechtfertigten, allerdings ohne dies weiter zu begründen. Sodann legte sie weder in der Verfügung noch im Einspracheentscheid dar, weshalb sie den Abzug auf 5 % festsetzte. Eine solche Begründung lieferte sie auch in ihren Eingaben an die Vorinstanz oder in der vorliegenden Beschwerde nicht nach. Indem sie ihre Beweggründe weiterhin nicht aufzeigt und den Überlegungen der Vorinstanz gegenüberstellt, vermag die Beschwerdeführerin nicht darzutun, inwiefern das kantonale Gericht sein Ermessen in unzulässiger Weise und ohne sachliche Gründe an die Stelle ihres eigenen gesetzt hätte. Damit besteht kein Anlass, die Ermessensbetätigung der Vorinstanz zu korrigieren. Die Beschwerde ist daher abzuweisen.</w:t>
      </w:r>
    </w:p>
    <w:p>
      <w:r>
        <w:rPr>
          <w:b/>
        </w:rPr>
        <w:t>E. 5</w:t>
      </w:r>
    </w:p>
    <w:p>
      <w:r>
        <w:t>Dem Ausgang des Verfahrens entsprechend hat die Beschwerdeführerin die Gerichtskosten zu tragen ( Art. 66 Abs. 1 BGG ) und der Beschwerdegegnerin eine Parteientschädigung zu bezahlen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