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114/2016 vom 8. Juli 2016</w:t>
      </w:r>
    </w:p>
    <w:p>
      <w:r>
        <w:t>Bundesgericht, 2016-07-08, DE</w:t>
      </w:r>
    </w:p>
    <w:p>
      <w:r>
        <w:rPr>
          <w:b/>
        </w:rPr>
        <w:t xml:space="preserve">Quelle: </w:t>
      </w:r>
      <w:r>
        <w:t>https://mcp.opencaselaw.ch/entscheid/bger_8C_114_2016</w:t>
      </w:r>
    </w:p>
    <w:p>
      <w:r>
        <w:t>FR: TF 8C 114/2016 du 8 juillet 2016</w:t>
      </w:r>
    </w:p>
    <w:p>
      <w:r>
        <w:t>IT: TF 8C 114/2016 del 8 luglio 2016</w:t>
      </w:r>
    </w:p>
    <w:p>
      <w:pPr>
        <w:pStyle w:val="Heading2"/>
      </w:pPr>
      <w:r>
        <w:t>Regeste</w:t>
      </w:r>
    </w:p>
    <w:p>
      <w:r>
        <w:t>Sozialhilfe | Gesundheitswesen &amp; soziale Sicherheit</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1.2</w:t>
      </w:r>
    </w:p>
    <w:p>
      <w:r>
        <w:t>Hinsichtlich der Verletzung von Grundrechten (einschliesslich der willkürlichen Anwendung von kantonalem Recht und Willkür bei der Sachverhaltsfeststellung) gilt der in Art. 106 Abs. 1 BGG verankerte Grundsatz der Rechtsanwendung von Amtes wegen nicht. Insofern besteht eine qualifizierte Rügepflicht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 Die Begründung muss in der Beschwerde selber enthalten sein; der blosse Verweis auf andere Rechtsschriften oder Akten genügt nicht ( BGE 133 II 396 E. 3.1 S. 400 mit Hinweisen).</w:t>
      </w:r>
    </w:p>
    <w:p>
      <w:r>
        <w:rPr>
          <w:b/>
        </w:rPr>
        <w:t>E. 2</w:t>
      </w:r>
    </w:p>
    <w:p>
      <w:r>
        <w:t>Streitig und im Rahmen der dargelegten Kognition zu prüfen ist, ob die Vorinstanz bei der Bedarfsberechnung der Beschwerdeführerin im Zeitraum vom 1. September 2012 bis 30. Juni 2013 in verfassungskonformer Rechtsanwendung die Mitberücksichtigung der Leistungsfähigkeit ihres Konkubinatspartners bestätigt und folglich einen Anspruch auf wirtschaftliche Sozialhilfe verneint hat.</w:t>
      </w:r>
    </w:p>
    <w:p>
      <w:r>
        <w:rPr>
          <w:b/>
        </w:rPr>
        <w:t>E. 2.1</w:t>
      </w:r>
    </w:p>
    <w:p>
      <w:r>
        <w:t>Das kantonale Gericht hat unter Hinweis auf die massgebliche Rechtslage (so insbesondere § 14 des Sozialhilfegesetzes des Kantons Zürich vom 14. Juni 1981 [SHG; LS 851.1], § 17 der Sozialhilfeverordnung des Kantons Zürich vom 21. Oktober 1981 [SHV; LS 851.11] sowie die Richtlinien für die Ausgestaltung und Bemessung der Sozialhilfe der Schweizerischen Konferenz für Sozialhilfe [SKOS-Richtlinien]) nach eingehender Beweiswürdigung mit überzeugender Begründung, worauf verwiesen wird ( Art. 109 Abs. 3 BGG ), zutreffend dargelegt, es sei nicht zu beanstanden, dass die Sozialbehörde im fraglichen Zeitraum von einem stabilen Konkubinat ausgegangen sei. Nach dem Subsidiaritätsprinzip sei folglich nicht auf die subjektive Unterstützungsbereitschaft des Konkubinatspartners, sondern dessen Leistungsfähigkeit abzustellen. Demnach habe die Beschwerdegegnerin mit Blick auf den massgebenden Zeitraum zu Recht einen Unterstützungsanspruch der Beschwerdeführerin verneint. Schon mit Urteil 2P.48/2004 vom 26. Februar 2004 E. 2.4 hat das Bundesgericht erkannt, dass es nicht gegen das Willkürverbot ( Art. 9 BV ) verstösst, bei der Bemessung der wirtschaftlichen Sozialhilfe der unterstützten Person unabhängig vom Zahlungswillen ihres Konkubinatspartners eine von ihm grundsätzlich erhältliche Haushaltsentschädigung anzurechnen.</w:t>
      </w:r>
    </w:p>
    <w:p>
      <w:r>
        <w:rPr>
          <w:b/>
        </w:rPr>
        <w:t>E. 2.2</w:t>
      </w:r>
    </w:p>
    <w:p>
      <w:r>
        <w:t>Auch die EMRK verbietet den Mitgliedstaaten eine unterschiedliche Behandlung von Personengruppen zur Behebung "tatsächlicher Ungleichheiten" nicht. Vielmehr belässt sie den Einzelstaaten bei der Ausgestaltung ihrer Systeme der sozialen Sicherheit einen weiten Beurteilungsspielraum. In einer (sozialversicherungs-) rechtlichen Gesamtbetrachtung privilegiert das Gesetz Ehen und eingetragene Partnerschaften in mehrfacher Hinsicht ( BGE 140 I 77 ). Obwohl die Beschwerdeführerin auch aus BGE 141 I 153 ausführlich zitiert, unterlässt sie es, auf die hier ausschlaggebenden Erwägungen zu verweisen. Demnach steht fest, dass die Anrechnung eines Konkubinatsbeitrages im Sozialhilfebudget bei Vorliegen eines stabilen Konkubinats weder willkürlich ist noch das Rechtsgleichheitsgebot verletzt ( BGE 141 I 153 E. 5 S. 157 f.). Dabei kann nicht entscheidend sein, ob sich der leistungsfähige Konkubinatspartner ausdrücklich bereit erklärt, den Beitrag tatsächlich zu leisten oder nicht ( BGE 141 I 153 E. 6.2.1 S 158 f.).</w:t>
      </w:r>
    </w:p>
    <w:p>
      <w:r>
        <w:rPr>
          <w:b/>
        </w:rPr>
        <w:t>E. 2.3</w:t>
      </w:r>
    </w:p>
    <w:p>
      <w:r>
        <w:t>Die Beschwerdeführerin legt nicht dar, inwiefern die vorinstanzliche Sachverhaltsfeststellung offensichtlich unrichtig oder sonstwie bundesrechtswidrig sei. Daran ändern auch die vielen, sich insgesamt über mehrere A4-Seiten erstreckenden Zitate aus Bundesgerichtsentscheiden nichts. Wie das kantonale Gericht zutreffend erkannte, vermag die Beschwerdeführerin auch aus dem Schreiben ihres Konkubinatspartners vom 17. April 2014 nichts zu ihren Gunsten abzuleiten. Dieser Schriftsatz wurde offensichtlich im Nachgang und unter dem Eindruck der Kenntnisnahme des vorinstanzlichen Rückweisungsentscheides VB.2013.00696 vom 16. Januar 2014 produziert. Im genannten Rückweisungsentscheid hatte die Vorinstanz festgestellt, dass die blosse Behauptung der Beschwerdeführerin, sie habe sich von ihrem Konkubinatspartner "finanziell getrennt", angesichts der Fortführung der Hausgemeinschaft mit ihm unglaubhaft erscheine. Diese Behauptung genüge jedenfalls nicht, um davon abzusehen, die finanziellen Verhältnisse des Konkubinatspartners im Unterstützungsbudget der Beschwerdeführerin zu berücksichtigen (Rückweisungsentscheid VB.2013.00696 vom 16. Januar 2014 E. 3.4). Angesichts der Tatsache, dass die Beschwerdeführerin mindestens seit April 2007 und offenbar bis heute zusammen mit ihrem Konkubinatspartner und den vier gemeinsamen Kindern in ein und derselben Wohnung lebt und jedenfalls die Kinder unbestritten vom Konkubinatspartner ununterbrochen unterstützt wurden, hat das kantonale Gericht unter den gegebenen Umständen ohne Bundesrechtsverletzung willkürfrei auf ein stabiles Konkubinat geschlossen (vgl. BGE 141 I 153 E. 6.2.1 S. 158 f.).</w:t>
      </w:r>
    </w:p>
    <w:p>
      <w:r>
        <w:rPr>
          <w:b/>
        </w:rPr>
        <w:t>E. 2.4</w:t>
      </w:r>
    </w:p>
    <w:p>
      <w:r>
        <w:t>Was die Beschwerdeführerin in der Folge gegen die Berücksichtigung der Leistungsfähigkeit ihres Konkubinatspartners bei der Ermittlung ihres Unterstützungsbudgets vorbringt, ist offensichtlich unbegründet. Vor Bundesgericht wiederholt sie ihre bereits vorinstanzlich vorgetragene Argumentation, indem sie sich auf die Rechtsprechung zum Arbeitslosenversicherungsrecht beruft und rügt, ihr sei mangels gegenseitiger Unterstützungspflicht von Konkubinatspartnern ein Anspruch auf Arbeitslosenentschädigung verweigert worden. In diesem Verfahren ist jedoch nicht ein Anspruch auf prämienfinanzierte Leistungen der Arbeitslosenversicherung strittig. Aus den hier in Bezug auf den zur Diskussion stehenden Anspruch auf wirtschaftliche Sozialhilfe anwendbaren Bestimmungen und Grundsätzen (E. 2.1 hievor) vermag die Beschwerdeführerin auch angesichts der zulässigen Berücksichtigung tatsächlicher Ungleichheiten (E. 2.2 hievor) nichts zu ihren Gunsten abzuleiten. Zudem legt sie mit Blick auf die von ihr zahlreich gerügten Verfassungsverletzungen nicht im Einzelnen substanziiert dar, inwiefern das kantonale Gericht die betreffenden Bestimmungen der BV und EMRK verletzt habe. Indem sie ganze Erwägungen aus dem angefochtenen Entscheid in ihre Beschwerdeschrift hinein kopierte und diesen Passagen ihre davon abweichenden Auffassungen gegenüberstellt, genügen ihre Ausführungen der qualifizierten Rügepflicht nicht. Auf die entsprechende appellatorische Kritik ist nicht weiter einzugehen (E. 1.2 hievor).</w:t>
      </w:r>
    </w:p>
    <w:p>
      <w:r>
        <w:rPr>
          <w:b/>
        </w:rPr>
        <w:t>E. 3</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