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8C_113/2015 vom 26. Mai 2015</w:t>
      </w:r>
    </w:p>
    <w:p>
      <w:r>
        <w:t>Bundesgericht, 2015-05-26, DE</w:t>
      </w:r>
    </w:p>
    <w:p>
      <w:r>
        <w:rPr>
          <w:b/>
        </w:rPr>
        <w:t xml:space="preserve">Quelle: </w:t>
      </w:r>
      <w:r>
        <w:t>https://mcp.opencaselaw.ch/entscheid/bger_8C_113_2015</w:t>
      </w:r>
    </w:p>
    <w:p>
      <w:r>
        <w:t>FR: TF 8C_113/2015 du 26 mai 2015</w:t>
      </w:r>
    </w:p>
    <w:p>
      <w:r>
        <w:t>IT: TF 8C_113/2015 del 26 maggio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2.1.1</w:t>
      </w:r>
    </w:p>
    <w:p>
      <w:r>
        <w:t>Das kantonale Gericht hat in Bestätigung der Verfügung vom   11. Dezember 2013 erkannt, dass das Erwerbseinkommen, das die Versicherte durch eine ihr zumutbare Tätigkeit bei ausgeglichener Arbeitsmarktlage erzielen könnte (vgl. Art. 16 ATSG ), anhand der standardisierten Bruttolöhne der Schweizerischen Lohnstrukturerhebung des Bundesamtes für Statistik (LSE 2010, Tabelle TA1, Total, Frauen, Anforderungsniveau 4) bezogen auf eine Arbeitsfähigkeit von 70 % zu bestimmen sei. Die IV-Stelle habe zwar einen Tabellenlohnabzug gemäss BGE 126 V 75 von 15 % gestützt auf die persönlichen Umstände (Lebensalter, Nationalität, Teilpensum und Dienstjahre) gewährt. Damit habe sie aber den Umstand ausser Acht gelassen, dass wegen der seropositiven rheumatoiden Arthritis entzündliche Schübe mit zeitlich limitierten Arbeitsunfähigkeiten zu erwarten seien und die Versicherte zudem aufgrund der von Dr. med. C.________ diagnostizierten Persönlichkeitsstörung nicht in der Lage sei, ständig in Kontakt mit fremden Menschen zu stehen oder Forderungen des Arbeitgebers durchzusetzen. Wegen dieser Einschränkungen werde die Versicherte zusätzliche Schwierigkeiten haben, ihre Restarbeitsfähigkeit auf dem allgemeinen Arbeitsmarkt zu verwerten, weshalb gesamthaft betrachtet ein Abzug von 20 % vom Tabellenlohn als angemessen zu bezeichnen sei.</w:t>
      </w:r>
    </w:p>
    <w:p>
      <w:r>
        <w:rPr>
          <w:b/>
        </w:rPr>
        <w:t>E. 2.1.2</w:t>
      </w:r>
    </w:p>
    <w:p>
      <w:r>
        <w:t>Die IV-Stelle bringt vor, das kantonale Gericht habe sich auf keine tatsächlichen Gegebenheiten gestützt, die seine Ermessensausübung als naheliegender erscheinen liessen. Die sich aus der Persönlichkeitsstörung ergebenden Beeinträchtigungen seien mit der psychiatrischen Einschätzung der Arbeitsunfähigkeit (30 %) vollumfänglich abgedeckt worden. Darauf habe sie in der Verfügung vom 11. Dezember 2013 mit dem Hinweis "eingeschränkte Anforderungen an die Stressresistenz, keine Gruppenarbeit" Bezug genommen. Sodann verkenne das kantonale Gericht hinsichtlich der allfällig zu erwartenden entzündlichen Beschwerdeschübe, dass die rheumatoide Arthritis bislang sehr milde verlaufen und ausweislich der Akten lediglich eine einzelne Phase einer diskreten humoralen Aktivität dokumentiert sei. Mit der blossen Möglichkeit künftiger, zeitlich limitierter Schübe liessen sich keine Auswirkungen auf die durchschnittliche wirtschaftliche Verwertbarkeit der Restarbeitsfähigkeit begründen. Ohnehin gehe aus der Verfügung vom 11. Dezember 2013 hervor, dass die Verwaltung mit dem gewährten Tabellenlohnabzug von 15 % gemäss BGE 126 V 75 sämtlichen gesundheitlichen Einschränkungen Rechnung getragen habe. Insgesamt betrachtet habe die Vorinstanz den sich aus der Verfügung vom 11. Dezember 2013 ergebenden Sachverhalt offensichtlich unrichtig interpretiert und gestützt darauf das ihr gemäss BGE 126 V 75 zustehende Ermessen überschritten.</w:t>
      </w:r>
    </w:p>
    <w:p>
      <w:r>
        <w:rPr>
          <w:b/>
        </w:rPr>
        <w:t>E. 2.1.3</w:t>
      </w:r>
    </w:p>
    <w:p>
      <w:r>
        <w:t>Die Beschwerdegegnerin bringt vor, die rheumatoide Arthritis führe zu nicht vorhersehbaren Entzündungen und damit zu nicht oder nur schwer kalkulierbaren Arbeitsabsenzen, weshalb dieser Umstand in der ärztlich eingeschätzten Arbeitsfähigkeit nicht enthalten gewesen sein könne. Weiter sei nicht ersichtlich, inwiefern die von Dr. med. C.________ diagnostizierte Persönlichkeitsstörung sich in einer eingeschränkten Stressresistenz erschöpfe. Insgesamt habe das kantonale Gericht zutreffend dargelegt, weshalb Umstände vorgelegen haben, das Ermessen der IV-Stelle in Bezug auf die Einschätzung des Tabellenlohnabzuges gemäss BGE 126 V 75 gesamthaft zu überprüfen.</w:t>
      </w:r>
    </w:p>
    <w:p>
      <w:r>
        <w:rPr>
          <w:b/>
        </w:rPr>
        <w:t>E. 3.1</w:t>
      </w:r>
    </w:p>
    <w:p>
      <w:r>
        <w:t>Ob ein (behinderungsbedingt oder anderweitig begründeter) Abzug vom Tabellenlohn vorzunehmen ist, stellt eine vom Bundesgericht frei überprüfbare Rechtsfrage dar ( BGE 137 V 71 E. 5.1 S. 72; in BGE 135 V 297 nicht publizierte E. 4 des Urteils 8C_652/2008 vom 8. Mai 2009). Die Frage nach der Höhe des (im konkreten Fall grundsätzlich angezeigten) Abzuges vom Tabellenlohn dagegen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E. 3.3 S. 399).</w:t>
      </w:r>
    </w:p>
    <w:p>
      <w:r>
        <w:rPr>
          <w:b/>
        </w:rPr>
        <w:t>E. 3.2</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 BGE 137 V 71 E. 5.2 S. 73; 126 V 75 E. 6 S. 81 mit Hinweis). Wurde bei der Festsetzung der Höhe des Tabellenlohnabzuges ein Merkmal oder ein bestimmter Aspekt eines Merkmals zu Unrecht nicht berücksichtigt, haben das kantonale Versicherungsgericht oder das Bundesgericht den Abzug gesamthaft neu zu schätzen; es ist nicht von dem von der IV-Stelle oder von der Vorinstanz vorgenommenen Abzug auszugehen und dieser zu erhöhen (SVR 2011 IV Nr. 31 S. 90, 9C_728/2009       E. 4.1.2 und 4.3). Daher kann unter Umständen auch dann, wenn die untere Instanz ein Merkmal übersehen hat, der von dieser geschätzte Abzug bestätigt werden (vgl. z.B. 9C_980/2010 vom 20. Juni 2011    E. 6.3).</w:t>
      </w:r>
    </w:p>
    <w:p>
      <w:r>
        <w:rPr>
          <w:b/>
        </w:rPr>
        <w:t>E. 4.1</w:t>
      </w:r>
    </w:p>
    <w:p>
      <w:r>
        <w:t>Laut psychiatrischer Teilexpertise des Dr. med. C.________ vom    4. Juli 2013 war die Versicherte im Wesentlichen wegen der chronifizierten neurotischen Persönlichkeitsstörung beeinträchtigt. Sie war nur reduziert stressbelastbar und hatte Mühe, Kontakte mit anderen Menschen aufzunehmen. In einer Arbeitsstelle, wo sie nicht in ständigem Kontakt mit fremden Leuten stehen oder Forderungen des Arbeitgebers (so unter anderem gegenüber Mitarbeitern) durchsetzen müsste, wie zum Beispiel als Alleinsekretärin oder wie aktuell als Betreuerin der pflegebedürftigen Mutter, war die Ausübung eines Pensums von 70 % ohne zusätzliche Leistungseinbusse zumutbar. Angesichts dieser psychiatrischen Auskünfte lag kein triftiger Grund vor, der es dem kantonalen Gericht erlaubt hat, den von der IV-Stelle gewährten Abzug vom Tabellenlohn gemäss BGE 126 V 75 gesamthaft zu überprüfen.</w:t>
      </w:r>
    </w:p>
    <w:p>
      <w:r>
        <w:rPr>
          <w:b/>
        </w:rPr>
        <w:t>E. 4.2</w:t>
      </w:r>
    </w:p>
    <w:p>
      <w:r>
        <w:t>Gemäss Teilexpertise des Dr. med. B.________ vom 9. Juli 2013 war die Arbeitsfähigkeit aus somatisch-rheumatologischer Sicht hinsichtlich der von der Versicherten bisher ausgeübten Tätigkeiten zu keinem Zeitpunkt anhaltend eingeschränkt gewesen. Dafür sprach unter anderem auch der Umstand, dass sie gegen Entgelt die kranke Mutter pflegte, eine Tätigkeit, die als körperlich belastend zu bezeichnen war. Die Vorinstanz hat übersehen, wie die IV-Stelle richtig geltend macht, dass Dr. med. B.________ aufgrund der Anamnese und der aktuellen Befunde ("sehr milder Verlauf einer rheumatoiden Arthritis", "tiefe Krankheitsaktivität annähernd mit einer Remission vereinbar") prognostisch lediglich mit der Möglichkeit rechnete, es könnten entzündliche Beschwerdeschübe auftreten, die eine zeitlich limitierte Einschränkung der Arbeitsfähigkeit von jeweils maximal 20 bis 30 % zu begründen vermöchten.</w:t>
      </w:r>
    </w:p>
    <w:p>
      <w:r>
        <w:rPr>
          <w:b/>
        </w:rPr>
        <w:t>E. 4.3</w:t>
      </w:r>
    </w:p>
    <w:p>
      <w:r>
        <w:t>In Anbetracht der medizinischen Auskünfte ist die Begründung der Vorinstanz für einen leidensbedingten Abzug von 5 % nachvollziehbar. Dabei liess sie jedoch unberücksichtigt, dass der bereits gewährte Abzug durch die Verwaltung von 15 % angesichts der Arbeits- und Lebenssituation der Versicherten als viel zu hoch zu qualifizieren war, war doch keiner der übrigen persönlichen und beruflichen Umstände (Alter, Dienstjahre, Nationalität und Beschäftigungsgrad) geeignet, negative Auswirkungen auf das Lohnniveau haben zu können. Indem das kantonale Gericht den von ihm korrekt begründeten Abzug einfach mit dem bereits gewährten Abzug der IV-Stelle addierte, hat es demnach Bundesrecht verletzt.</w:t>
      </w:r>
    </w:p>
    <w:p>
      <w:r>
        <w:rPr>
          <w:b/>
        </w:rPr>
        <w:t>E. 5</w:t>
      </w:r>
    </w:p>
    <w:p>
      <w:r>
        <w:t>Das Gesuch der IV-Stelle Wallis um Bewilligung der aufschiebenden Wirkung wird mit dem Entscheid in der Sache gegenstandslos.</w:t>
      </w:r>
    </w:p>
    <w:p>
      <w:r>
        <w:rPr>
          <w:b/>
        </w:rPr>
        <w:t>E. 6</w:t>
      </w:r>
    </w:p>
    <w:p>
      <w:r>
        <w:t>Die Beschwerdegegnerin hat gemäss Art. 66 Abs. 1 Satz 1 BGG als unterliegende Partei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