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112/2016 vom 9. Mai 2016</w:t>
      </w:r>
    </w:p>
    <w:p>
      <w:r>
        <w:t>Bundesgericht, 2016-05-09, DE</w:t>
      </w:r>
    </w:p>
    <w:p>
      <w:r>
        <w:rPr>
          <w:b/>
        </w:rPr>
        <w:t xml:space="preserve">Quelle: </w:t>
      </w:r>
      <w:r>
        <w:t>https://mcp.opencaselaw.ch/entscheid/bger_8C_112_2016</w:t>
      </w:r>
    </w:p>
    <w:p>
      <w:r>
        <w:t>FR: TF 8C 112/2016 du 9 mai 2016</w:t>
      </w:r>
    </w:p>
    <w:p>
      <w:r>
        <w:t>IT: TF 8C 112/2016 del 9 maggio 2016</w:t>
      </w:r>
    </w:p>
    <w:p>
      <w:pPr>
        <w:pStyle w:val="Heading2"/>
      </w:pPr>
      <w:r>
        <w:t>Regeste</w:t>
      </w:r>
    </w:p>
    <w:p>
      <w:r>
        <w:t>Unfallversicherung (Invalidenrente, Revision)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massgeblichen Bestimmungen und Grundsätze zutreffend dargelegt. Es wird darauf verwiesen.</w:t>
      </w:r>
    </w:p>
    <w:p>
      <w:r>
        <w:rPr>
          <w:b/>
        </w:rPr>
        <w:t>E. 3</w:t>
      </w:r>
    </w:p>
    <w:p>
      <w:r>
        <w:t>Der Beschwerdeführer beantragt die Feststellung einer Rechtsverzögerung durch die Zürich, weil das Einspracheverfahren über eineinhalb Jahre gedauert habe. Das kantonale Gericht hat sich dazu zutreffend geäussert. Es wird auch letztinstanzlich nicht dargelegt, inwiefern ein schutzwürdiges Interesse an der Feststellung im Urteilsdispositiv bestehe (Urteil 9C_418/2009 vom 24. August 2009 E. 1.3). Auf die Beschwerde ist daher in diesem Punkt nicht einzutreten.</w:t>
      </w:r>
    </w:p>
    <w:p>
      <w:r>
        <w:rPr>
          <w:b/>
        </w:rPr>
        <w:t>E. 4</w:t>
      </w:r>
    </w:p>
    <w:p>
      <w:r>
        <w:t>Es wird des Weiteren eine Verletzung des rechtlichen Gehörs geltend gemacht. Massgeblich zum rechtlichen Gehör bei Verfügungen, die durch Einsprache anfechtbar sind, ist Art. 42 ATSG , worauf die Vorinstanz zutreffend verwiesen hat. Ob und bejahendenfalls inwieweit eine Verletzung der Grundsätze gemäss BGE 137 V 210 überhaupt zu beachten wäre in einem Verfahren der Unfallversicherung, in welchem das Gutachten lediglich beigezogen wird, hat das Bundesgericht bis anhin offen gelassen (Urteil 8C_395/2012 vom 31. August 2012 E. 4.4). Das kantonale Gericht hat sich zu den Umständen im vorliegenden Fall eingehend und zutreffend geäussert. Der Beschwerdeführer legt auch letztinstanzlich nicht dar, welche Ausstandsgründe er hätte geltend machen wollen ( BGE 132 V 93 E. 6.5 S. 108, E. 7.1 S. 109 f.; SVR 2010 IV Nr. 41 S. 128, 8C_474/2009 E. 7). Einwendungen gegen die Sachkunde des Experten sind im Rahmen der Beweiswürdigung zu prüfen ( BGE 132 V 93 E. 6.5 S. 108 f.). Es wird nicht weiter ausgeführt, inwiefern der Beschwerdeführer am Beweisergebnis hätte mitwirken wollen, welche Fragen er hätte stellen wollen und inwiefern diese für die medizinische Einschätzung relevant gewesen wären. Soweit sich die Einwände des Beschwerdeführers gegen den psychiatrischen Gutachter richten, ist darauf auch deshalb nicht näher einzugehen, weil dessen Einschätzung hier ohnehin nicht von Bedeutung ist (dazu unten E. 6).</w:t>
      </w:r>
    </w:p>
    <w:p>
      <w:r>
        <w:rPr>
          <w:b/>
        </w:rPr>
        <w:t>E. 5</w:t>
      </w:r>
    </w:p>
    <w:p>
      <w:r>
        <w:t>Das kantonale Gericht hat die medizinische Aktenlage insbesondere auch aus somatischer Sicht eingehend dargelegt. Nach seinen Feststellungen ist eine Verbesserung des physischen Gesundheitszustands ausgewiesen, denn es habe inzwischen keine Algodystrophie beziehungsweise kein CRPS (Typ II) mehr diagnostiziert werden können. Der Beschwerdeführer sei in der Lage, seine linke Hand funktionell unbehindert einzusetzen, zur Faust zu schliessen und seine Langfinger auszustrecken. Selbst die repetitive Bewegung von Gewichten bis zu fünf Kilogramm sei ihm mit der linken Hand nunmehr wieder möglich. Aus rein somatischer Sicht sei ihm nicht mehr bloss eine leichte, sondern eine leichte bis mittelschwere Verweistätigkeit mit dem gutachtlich umschriebenen Belastungsprofil zu 100 Prozent zumutbar. Konkrete Indizien gegen die Zuverlässigkeit dieser ärztlichen Einschätzung, auf welche sich die Vorinstanz gestützt hat, sind nicht zu erkennen, denn es liegen keine neueren Arztberichte vor, die davon abweichen würden ( BGE 137 V 210 E. 1.3.4 S. 227; 135 V 465 E. 4.4 S. 470; 125 V 351 E. 3b/bb S. 353).</w:t>
      </w:r>
    </w:p>
    <w:p>
      <w:r>
        <w:rPr>
          <w:b/>
        </w:rPr>
        <w:t>E. 6</w:t>
      </w:r>
    </w:p>
    <w:p>
      <w:r>
        <w:t>Zum adäquaten Kausalzusammenhang der psychischen Beschwerden, welche nach Lage der Akten erst vier Jahre nach dem Unfall und auch erst nach der Rentenzusprechung festgestellt wurden, hat sich das kantonale Gericht einlässlich geäussert. Weshalb die Beurteilung der Adäquanz nicht nach den Grundsätzen von BGE 115 V 133 zu erfolgen hätte, wird beschwerdeweise nicht dargelegt. Unbestritten geblieben ist, dass der Unfall als mittelschwer zu qualifizieren ist. Der Beschwerdeführer beruft sich letztinstanzlich darauf, dass sämtliche der zu berücksichtigenden Kriterien erfüllt seien, ohne dies jedoch näher zu begründen. Es besteht auch nach Lage der Akten kein Anlass, von der vorinstanzlichen Beurteilung abzuweichen.</w:t>
      </w:r>
    </w:p>
    <w:p>
      <w:r>
        <w:rPr>
          <w:b/>
        </w:rPr>
        <w:t>E. 7</w:t>
      </w:r>
    </w:p>
    <w:p>
      <w:r>
        <w:t>Beanstandet werden schliesslich die vorinstanzlichen Erwägungen zu den erwerblichen Auswirkungen der Gesundheitsschädigung. Der Beschwerdeführer nimmt dabei jedoch nur Bezug auf die bereits erörterten Einwände.</w:t>
      </w:r>
    </w:p>
    <w:p>
      <w:r>
        <w:rPr>
          <w:b/>
        </w:rPr>
        <w:t>E. 8</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9</w:t>
      </w:r>
    </w:p>
    <w:p>
      <w:r>
        <w:t>Entsprechend dem Verfahrensausgang werden die Gerichtskosten dem unterliegenden Beschwerdeführer auferlegt ( Art. 65 und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