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8C_111/2024 vom 5. März 2024</w:t>
      </w:r>
    </w:p>
    <w:p>
      <w:r>
        <w:t>Bundesgericht, 2024-03-05, DE</w:t>
      </w:r>
    </w:p>
    <w:p>
      <w:r>
        <w:rPr>
          <w:b/>
        </w:rPr>
        <w:t xml:space="preserve">Quelle: </w:t>
      </w:r>
      <w:r>
        <w:t>https://mcp.opencaselaw.ch/entscheid/bger_8C_111_2024</w:t>
      </w:r>
    </w:p>
    <w:p>
      <w:r>
        <w:t>FR: TF 8C_111/2024 du 5 mars 2024</w:t>
      </w:r>
    </w:p>
    <w:p>
      <w:r>
        <w:t>IT: TF 8C_111/2024 del 5 marzo 2024</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wie vorliegend, gegen ein in Anwendung kantonalen Rechts ergangenes Urteil richten, ist demnach anhand der massgeblichen Erwägungen des kantonalen Urteils klar und detailliert darzulegen, welche verfassungsmässigen Rechte und inwiefern sie durch dieses Urteil verletzt sein sollen.</w:t>
      </w:r>
    </w:p>
    <w:p>
      <w:r>
        <w:rPr>
          <w:b/>
        </w:rPr>
        <w:t>E. 2</w:t>
      </w:r>
    </w:p>
    <w:p>
      <w:r>
        <w:t>Die Vorinstanz legte im angefochtenen Urteil vom 15. Januar 2024 in Auseinandersetzung mit den Parteivorbringen und in Würdigung der Akten näher dar, weshalb die Beschwerdegegnerin die für die Jahre 2021 und 2022 ausgerichteten Krankenkassenprämienpauschalen mit Verfügungen vom 16. August 2022 zurückfordern durfte. Auch führte das kantonale Gericht näher aus, weshalb der mit separater Verfügung vom 14. Juli 2022 entschiedene nachträgliche Wegfall des Ergänzungsleistungsanspruchs für die Jahre 2021 und 2022 nicht zum Prozessgegenstand des vorliegenden Verfahrens erhoben werden konnte.</w:t>
      </w:r>
    </w:p>
    <w:p>
      <w:r>
        <w:rPr>
          <w:b/>
        </w:rPr>
        <w:t>E. 3</w:t>
      </w:r>
    </w:p>
    <w:p>
      <w:r>
        <w:t>I nwiefern die von der Vorinstanz in diesem Zusammenhang getroffenen Sachverhaltsfeststellungen offensichtlich unrichtig (vgl. Art. 97 Abs. 1 BGG ) - mithin willkürlich ( BGE 146 IV 88 E. 1.3.1 f.; 140 III 115 E. 2; je mit Hinweisen) - oder sonstwie bundesrechtswidrig sein sollen, zeigt die Beschwerdeführerin nicht auf. Ebenso wenig tut sie dar, weshalb die darauf beruhenden Erwägungen gegen Bundesrecht verstossen oder einen anderen Beschwerdegrund (vgl. Art. 95 lit. a-e BGG ) gesetzt haben könnten. Lediglich den Geschehensablauf zu schildern und die finanziellen Verhältnisse darzulegen, reicht genauso wenig aus, wie der Enttäuschung Ausdruck zu verleihen, dass das kantonale Gericht sich nicht inhaltlich zur Verfügung vom 14. Juli 2022 geäussert hat.</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r>
        <w:t>Damit wird das mit der Beschwerdeerhebung sinngemäss gestellte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