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8C_109/2012 vom 9. März 2012</w:t>
      </w:r>
    </w:p>
    <w:p>
      <w:r>
        <w:t>Bundesgericht, 2012-03-09, DE</w:t>
      </w:r>
    </w:p>
    <w:p>
      <w:r>
        <w:rPr>
          <w:b/>
        </w:rPr>
        <w:t xml:space="preserve">Quelle: </w:t>
      </w:r>
      <w:r>
        <w:t>https://mcp.opencaselaw.ch/entscheid/bger_8C_109_2012</w:t>
      </w:r>
    </w:p>
    <w:p>
      <w:r>
        <w:t>FR: TF 8C_109/2012 du 9 mars 2012</w:t>
      </w:r>
    </w:p>
    <w:p>
      <w:r>
        <w:t>IT: TF 8C_109/2012 del 9 marzo 2012</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Rechtsfragen sind die unvollständige Feststellung rechtserheblicher Tatsachen sowie die Missachtung des Untersuchungsgrundsatzes ( Art. 43 Abs. 1, Art. 61 lit. c ATSG ) und der Anforderungen an den Beweiswert von Arztberichten ( BGE 134 V 231 E. 5.1 S. 232). Die aufgrund medizinischer Untersuchungen gerichtlich festgestellte Arbeitsfähigkeit und die konkrete Beweiswürdigung sind Tatfragen ( BGE 132 V 393 E. 3.2 S. 397; nicht publ. E. 4.1 des Urteils BGE 135 V 254 , in SVR 2009 IV Nr. 53 S. 164 [9C_204/2009]; Urteil 8C_639/2011 vom 5. Januar 2012 E. 1).</w:t>
      </w:r>
    </w:p>
    <w:p>
      <w:r>
        <w:rPr>
          <w:b/>
        </w:rPr>
        <w:t>E. 2</w:t>
      </w:r>
    </w:p>
    <w:p>
      <w:r>
        <w:t>Nach Art. 49 Abs. 2 ATSG sind Verfügungen zu begründen, wenn sie den Begehren der Parteien nicht voll entsprechen. Der Versicherte wendet ein, die IV-Stelle habe - entgegen der Auffassung der Vorinstanz - die Begründungspflicht und damit seinen Anspruch auf rechtliches Gehör ( Art. 29 Abs. 2 BV ) verletzt, indem sie in der streitigen Verfügung nicht dargelegt habe, weshalb die Aktenstellungnahmen des RAD dem Gutachten des Dr. med. K.________ vom 12. November 2010 vorzuziehen und keine zusätzlichen Abklärungen getroffen worden seien.</w:t>
      </w:r>
    </w:p>
    <w:p>
      <w:r>
        <w:t>Falls die IV-Stelle das rechtliche Gehör verletzt hätte, wäre die Gehörsverletzung durch die mit voller Kognition entscheidende Vorinstanz, bei welcher dem Beschwerdeführer das rechtliche Gehör gewährt wurde, zulässigerweise geheilt worden. Das Bundesgericht überprüft den angefochtenen Entscheid und nur indirekt die diesem zugrunde liegende Verwaltungsverfügung (vgl. auch SVR 2010 IV Nr. 51 S. 157 E. 3 [9C_363/2009]; Urteil 8C_944/2010 vom 21. März 2011 E. 4.2).</w:t>
      </w:r>
    </w:p>
    <w:p>
      <w:r>
        <w:rPr>
          <w:b/>
        </w:rPr>
        <w:t>E. 3</w:t>
      </w:r>
    </w:p>
    <w:p>
      <w:r>
        <w:t>Das kantonale Gericht hat die Grundlagen über den Rentenanspruch ( Art. 28 IVG ) und die Invaliditätsbemessung bei Erwerbstätigen nach dem Einkommensvergleich ( Art. 16 ATSG ; vgl. auch BGE 135 V 297 E. 5.1 f. S. 300 f.) richtig dargelegt. Darauf wird verwiesen.</w:t>
      </w:r>
    </w:p>
    <w:p>
      <w:r>
        <w:rPr>
          <w:b/>
        </w:rPr>
        <w:t>E. 4.1</w:t>
      </w:r>
    </w:p>
    <w:p>
      <w:r>
        <w:t>Die Vorinstanz hat mit einlässlicher Begründung, auf die verwiesen wird, dargelegt, weshalb auf die Stellungnahmen des Dr. med. B.________ vom 23. November 2010 und 11. Februar 2011 sowie der Frau Dr. med. M.________ vom 11. Februar 2011 abzustellen ist und dem Gutachten des Dr. K.________ vom 12. November 2010 sowie den Berichten der behandelnden Ärzte nicht gefolgt werden kann. Sie hat erkannt, dass der Beschwerdeführer in der angestammten Tätigkeit als Bauarbeiter nicht mehr arbeitsfähig, ihm aber eine leichte wechselbelastende Tätigkeit mit der Möglichkeit zu spontanen Positionswechseln zu 100 % zumutbar ist. Diesem vorinstanzlichen Ergebnis ist beizupflichten.</w:t>
      </w:r>
    </w:p>
    <w:p>
      <w:r>
        <w:t>Die Vorbringen des Versicherten vermögen hieran nichts zu ändern. Er erhebt keine Rügen, welche die vorinstanzlichen Feststellungen zu seinem Gesundheitszustand und seiner Arbeitsfähigkeit als offensichtlich unrichtig oder als Ergebnis willkürlicher Beweiswürdigung oder als rechtsfehlerhaft nach Art. 95 BGG erscheinen lassen. Eine ungenügende Sachverhaltsabklärung liegt nicht vor, weil die dafür u.a. notwendigen Voraussetzungen - unauflösbare Widersprüche tatsächlicher Art oder Beantwortung einer entscheidwesentlichen Tatfrage, wie namentlich bezüglich Gesundheitszustand und Arbeitsfähigkeit, auf unvollständiger Beweisgrundlage - nicht vorliegen. Im Rahmen der freien, pflichtgemässen Würdigung der Beweise durch die Vorinstanz ergab sich ein nachvollziehbares und schlüssiges Bild des Gesundheitszustandes, das nach dem Beweisgrad der überwiegenden Wahrscheinlichkeit hinreichende Klarheit über den rechtserheblichen Sachverhalt vermittelt, weshalb ihre Sachverhaltsfeststellung bundesrechtskonform ist. Von weiteren medizinischen Abklärungen ist - der Vorinstanz folgend - abzusehen, da hievon keine neuen Erkenntnisse zu erwarten sind (antizipierte Beweiswürdigung; BGE 137 V 64 E. 5.2 S. 69, 136 I 229 E. 5.3 S. 236; Urteil 8C_768/2011 vom 7. Februar 2012 E. 5.2).</w:t>
      </w:r>
    </w:p>
    <w:p>
      <w:r>
        <w:rPr>
          <w:b/>
        </w:rPr>
        <w:t>E. 4.2</w:t>
      </w:r>
    </w:p>
    <w:p>
      <w:r>
        <w:t>Festzuhalten ist insbesondere Folgendes: Der Umstand, dass Dr. med. B.________ und Frau Dr. med. M.________ den Versicherten nicht selber untersucht haben, vermag ihre Stellungnahmen nicht in Frage zu stellen (vgl. Art. 49 Abs. 2 IVV ; SVR 2009 IV Nr. 56 S. 174 E. 4.2 und 4.3.1 [9C_323/2009]; Urteil 8C_817/2011 vom 31. Januar 2012 E. 3.5). Denn aufgrund der in den Akten liegenden ärztlichen Berichte konnten der Gesundheitszustand und die Arbeitsfähigkeit des Versicherten schlüssig beurteilt werden (zum Beweiswert von Aktenberichten vgl. SVR 2010 UV Nr. 17 S. 63 E. 7.2 [8C_239/2008]). In diesem Lichte wurde der Untersuchungsgrundsatz nicht verletzt.</w:t>
      </w:r>
    </w:p>
    <w:p>
      <w:r>
        <w:t>Nicht gefolgt werden kann dem Einwand des Versicherten, eine antizipierte Beweiswürdigung, wie sie die Vorinstanz vorgenommen habe, sei im Sozialversicherungsverfahren bei einer einzigen mit voller Kognition urteilenden Instanz unzulässig.</w:t>
      </w:r>
    </w:p>
    <w:p>
      <w:r>
        <w:rPr>
          <w:b/>
        </w:rPr>
        <w:t>E. 5</w:t>
      </w:r>
    </w:p>
    <w:p>
      <w:r>
        <w:t>Der vorinstanzliche Einkommensvergleich (zur diesbezüglichen Kognition des Bundesgerichts vgl. BGE 132 V 392 E. 3.3. S. 399), der zu einem rentenausschliessenen Invaliditätsgrad führte, ist masslich unbestritten, womit es sein Bewenden hat (Urteil 8C_768/2011 E. 6).</w:t>
      </w:r>
    </w:p>
    <w:p>
      <w:r>
        <w:rPr>
          <w:b/>
        </w:rPr>
        <w:t>E. 6</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