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1082/2009 vom 8. März 2010</w:t>
      </w:r>
    </w:p>
    <w:p>
      <w:r>
        <w:t>Bundesgericht, 2010-03-08, DE</w:t>
      </w:r>
    </w:p>
    <w:p>
      <w:r>
        <w:rPr>
          <w:b/>
        </w:rPr>
        <w:t xml:space="preserve">Quelle: </w:t>
      </w:r>
      <w:r>
        <w:t>https://mcp.opencaselaw.ch/entscheid/bger_8C_1082_2009</w:t>
      </w:r>
    </w:p>
    <w:p>
      <w:r>
        <w:t>FR: TF 8C 1082/2009 du 8 mars 2010</w:t>
      </w:r>
    </w:p>
    <w:p>
      <w:r>
        <w:t>IT: TF 8C 1082/2009 del 8 marzo 2010</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Der Beschwerdeführer macht vorab geltend, er habe auf die am 24. April 2009 angeordnete berufliche Abklärung bei der X.________ in seiner Replik an das kantonale Gericht vom 20. August 2009 ausdrücklich hingewiesen; die im Rahmen dieser Abklärung erzielten Ergebnisse - keine Leistungsfähigkeit von 70 %, sondern nur eine solche von 50 % - und deren Auswirkungen seien von der Vorinstanz nicht einmal erwähnt und auch in keiner Weise berücksichtigt worden. Damit rügt der Versicherte sinngemäss eine Verletzung des Anspruchs auf rechtliches Gehör. Dieser formellrechtliche Einwand ist vorweg zu prüfen.</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Die Heilung eines - allfälligen - Mangels soll aber die Ausnahme bleiben ( BGE 124 V 180 E. 4a S. 183 mit Hinweisen).</w:t>
      </w:r>
    </w:p>
    <w:p>
      <w:r>
        <w:rPr>
          <w:b/>
        </w:rPr>
        <w:t>E. 2.2</w:t>
      </w:r>
    </w:p>
    <w:p>
      <w:r>
        <w:t>Die Vorinstanz hat die vom Beschwerdeführer in der Replik genannten Unterlagen zur beruflichen Abklärung mit keinem Wort erwähnt. Damit hat sie den Anspruch des Beschwerdeführers auf rechtliches Gehör verletzt, dessen Bestandteil auch die Begründungspflicht bildet ( BGE 124 V 180 E. 1a S. 181 mit Hinweisen). Eine Heilung dieser Gehörsverletzung fällt vor Bundesgericht allein schon wegen der im letztinstanzlichen Verfahren geltenden engen Kognition (vgl. E. 1 hievor) ausser Betracht.</w:t>
      </w:r>
    </w:p>
    <w:p>
      <w:r>
        <w:rPr>
          <w:b/>
        </w:rPr>
        <w:t>E. 2.3</w:t>
      </w:r>
    </w:p>
    <w:p>
      <w:r>
        <w:t>Der kantonale Entscheid ist daher bereits aus formellen Gründen aufzuheben, so dass sich das Bundesgericht - entgegen den Vorbringen des Beschwerdeführers - nicht zu den materiellen Ausführungen in der Beschwerde äussert. Die Sache ist unter Aufhebung des Entscheids vom 16. Dezember 2009 an die Vorinstanz zurückzuweisen, damit sie unter Berücksichtigung aller Unterlagen und Beweisergebnisse sowie nach Durchführung allfällig notwendiger weiterer Beweisvorkehren über die Beschwerde vom 25. Mai 2009 neu entscheide.</w:t>
      </w:r>
    </w:p>
    <w:p>
      <w:r>
        <w:rPr>
          <w:b/>
        </w:rPr>
        <w:t>E. 3.1</w:t>
      </w:r>
    </w:p>
    <w:p>
      <w:r>
        <w:t>Dem Verfahrensausgang entsprechend sind die Gerichtskosten der unterliegenden IV-Stelle aufzuerlegen ( Art. 66 Abs. 1 BGG ). Das Gesuch des Beschwerdeführers um unentgeltliche Prozessführung ist damit gegenstandlos.</w:t>
      </w:r>
    </w:p>
    <w:p>
      <w:r>
        <w:rPr>
          <w:b/>
        </w:rPr>
        <w:t>E. 3.2</w:t>
      </w:r>
    </w:p>
    <w:p>
      <w:r>
        <w:t>Die Vorinstanz wird im Rahmen ihres erneuten Entscheids die Kostenfolgen des bisherigen kantonalen Beschwerdeverfahrens dem Ausgang des bundesgerichtlichen Prozesses entsprechend neu zu regeln und dabei auch über die vom Beschwerdeführer letztinstanzlich beantragte Rückerstattung des Kostenvorschusses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