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8C_107/2013 vom 23. April 2013</w:t>
      </w:r>
    </w:p>
    <w:p>
      <w:r>
        <w:t>Bundesgericht, 2013-04-23, DE</w:t>
      </w:r>
    </w:p>
    <w:p>
      <w:r>
        <w:rPr>
          <w:b/>
        </w:rPr>
        <w:t xml:space="preserve">Quelle: </w:t>
      </w:r>
      <w:r>
        <w:t>https://mcp.opencaselaw.ch/entscheid/bger_8C_107_2013</w:t>
      </w:r>
    </w:p>
    <w:p>
      <w:r>
        <w:t>FR: TF 8C_107/2013 du 23 avril 2013</w:t>
      </w:r>
    </w:p>
    <w:p>
      <w:r>
        <w:t>IT: TF 8C_107/2013 del 23 aprile 2013</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Das Bundesgericht prüft die Verletzung von Grundrechten nicht von Amtes wegen, sondern nur insoweit, als eine solche Rüge in der Beschwerde vorgebracht und begründet worden ist ( Art. 106 Abs. 2 BGG ). Hier muss die Beschwerdeschrift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w:t>
      </w:r>
    </w:p>
    <w:p>
      <w:r>
        <w:rPr>
          <w:b/>
        </w:rPr>
        <w:t>E. 1.3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Die Vorinstanz hat die Bestimmungen und Grundsätze über den Begriff der Invalidität ( Art. 8 ATSG in Verbindung mit Art. 4 Abs. 1 IVG ) und der Erwerbsunfähigkeit ( Art. 7 ATSG ), über den Anspruch auf eine Invalidenrente ( Art. 28 Abs. 1 und 2 IVG ) sowie den Beweiswert ärztlicher Berichte ( BGE 134 V 231 E. 5.1 S. 232; 125 V 351 E. 3 S. 352) zutreffend dargelegt. Darauf wird verwiesen.</w:t>
      </w:r>
    </w:p>
    <w:p>
      <w:r>
        <w:rPr>
          <w:b/>
        </w:rPr>
        <w:t>E. 3</w:t>
      </w:r>
    </w:p>
    <w:p>
      <w:r>
        <w:t>Die Vorinstanz hat gestützt auf das ABI-Gutachten vom 4. Juni 2010 und dessen gynäkologische Ergänzung vom 30. Mai 2011, auf die Berichte der behandelnden Frau PD Dr. med. L.________, Oberärztin, Klinik für Reproduktions-Endokrinologie, Spital Y.________, vom 25. September 2009, 3. November 2010 und 1. September 2011 sowie auf die Berichte der Frauenklinik, Spital Z.________, vom 20. und 26. August 2004 und vom 23. Februar 2005 sowie der Gastroenterologie und Hepatologie, Spital Z.________, vom 10. Januar 2006 in für das Bundesgericht verbindlicher Weise (E. 1.3) festgestellt, dass der Versicherten ihre angestammte Tätigkeit im Personalbereich oder eine angepasste Arbeit im Umfang eines 70 % Pensums weiterhin zumutbar sei, und gestützt darauf unter Anwendung der allgemeinen Methode des Einkommensvergleichs eine nicht rentenbegründende Einschränkung von 30 % berechnet.</w:t>
      </w:r>
    </w:p>
    <w:p>
      <w:r>
        <w:t>Daran vermögen auch die Einwände der Versicherten nichts zu ändern: Es ist nicht zu beanstanden, dass die Vorinstanz unter Berücksichtigung der Erfahrenstatsache, dass Haus- und behandelnde Ärzte auf Grund ihres Vertrauensverhältnisses zu den Patienten im Zweifelsfall zu deren Gunsten aussagen, sowie der unterschiedlichen Natur von Behandlungs- und Begutachtungsauftrag ( BGE 135 V 465 E. 4.5 S. 470 mit Hinweisen) den Berichten der behandelnden Frau PD Dr. med. L.________ nicht gefolgt ist. Dies gilt umso mehr, da Frau PD Dr. med. L.________ nur die auf ihrem Fachgebiet vorhandenen Beschwerden beurteilen kann, jedoch sich nicht in kompetenter Weise zu den weiteren, vorliegend zu berücksichtigenden Disziplinen (Orthopädie und Psychiatrie) zu äussern vermag und auch keine Abgrenzung der geklagten Schmerzen zu der - unbestrittenermassen vorliegenden, von Frau PD Dr. med. L.________ jedoch nicht erwähnten - vorbestehenden chronischen Schmerzproblematik diskutiert (vgl. die verschiedenen Berichte des PD Dr. med. P.________, Facharzt für Neurochirurgie, Leitender Arzt, Klinik A._________, des Prof. Dr. med. K.________, Facharzt für Neurologie, Klinik A._________, sowie des Dr. med. N.________, Facharzt für Rheumatologie). Hingegen entspricht das ABI-Gutachten vom 4. Juni 2010 und dessen gynäkologische Ergänzung vom 30. Mai 2011 den Anforderungen der Rechtsprechung an eine objektive Begutachtung, so dass die Vorinstanz zu Recht darauf abgestellt hat. Entgegen der Ansicht der Versicherten ist nicht entscheidend, ob das Gutachten in einem einzigen Schriftstück verfasst worden ist; massgebend ist vielmehr, ob die Schlussfolgerungen der Experten nachvollziehbar und schlüssig sind und die Vorakten sowie die geklagten Beschwerden berücksichtigen. Diese Voraussetzungen sind vorliegend erfüllt. Es obliegt den Ärzten, einzuschätzen, ob es einer versicherten Person objektiv zumutbar ist, ihre gesundheitlichen Beschwerden zu überwinden ( Art. 7 Abs. 2 ATSG ). Entgegen der Ansicht der Versicherten statuiert Art. 7 Abs. 2 Satz 2 ATSG nicht bloss die allgemein geltende Schadenminderungspflicht, sondern stellt die Übernahme der im Grundsatz bereits mit BGE 102 V 65 eingeführten und nicht auf psychische Leiden beschränkten Rechtsprechung dar, wonach invalidenversicherungsrechtlich Erwerbsunfähigkeit nur bei objektiver Unüberwindbarkeit gegeben ist ( BGE 135 V 215 E. 7 S. 228; vgl. auch SVR 2010 IV Nr. 4 S. 7 E. 4.3 [9C_46/2009] und Ueli Kieser, ATSG-Kommentar, 2. Aufl. 2009, Rz. 32 f. zu Art. 7 ATSG ). Nach dem Gesagten liegt weder eine offensichtlich unrichtige Sachverhaltsfeststellung noch eine anderweitige Verletzung von Bundesrecht vor und es hat beim nicht rentenbegründenden Invaliditätsgrad sein Bewenden.</w:t>
      </w:r>
    </w:p>
    <w:p>
      <w:r>
        <w:rPr>
          <w:b/>
        </w:rPr>
        <w:t>E. 4</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