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8C_106/2022 vom 24. März 2022</w:t>
      </w:r>
    </w:p>
    <w:p>
      <w:r>
        <w:t>Bundesgericht, 2022-03-24, DE</w:t>
      </w:r>
    </w:p>
    <w:p>
      <w:r>
        <w:rPr>
          <w:b/>
        </w:rPr>
        <w:t xml:space="preserve">Quelle: </w:t>
      </w:r>
      <w:r>
        <w:t>https://mcp.opencaselaw.ch/entscheid/bger_8C_106_2022</w:t>
      </w:r>
    </w:p>
    <w:p>
      <w:r>
        <w:t>FR: TF 8C_106/2022 du 24 mars 2022</w:t>
      </w:r>
    </w:p>
    <w:p>
      <w:r>
        <w:t>IT: TF 8C_106/2022 del 24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8C_106/2022</w:t>
      </w:r>
    </w:p>
    <w:p>
      <w:r>
        <w:t>Urteil vom 24. März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Schweizerische Unfallversicherungsanstalt (Suva), Fluhmattstrasse 1, 6004 Luzern,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Beschwerdegegner.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Verwaltungsgerichts des Kantons Bern vom 13. Januar 2022 (200 21 585 UV).</w:t>
      </w:r>
    </w:p>
    <w:p>
      <w:r>
        <w:t>Nach Einsicht</w:t>
      </w:r>
    </w:p>
    <w:p>
      <w:r>
        <w:t>in die Beschwerde vom 11. Februar 2022 gegen das Urteil des Verwaltungsgerichts des Kantons Bern vom 13. Januar 2022,</w:t>
      </w:r>
    </w:p>
    <w:p>
      <w:r>
        <w:t>in Erwägung,</w:t>
      </w:r>
    </w:p>
    <w:p>
      <w:r>
        <w:t>dass das kantonale Gericht im angefochtenen Urteil die gegen den Einspracheentscheid der Schweizerischen Unfallversicherungsanstalt (nachfolgend: Suva) vom 29. Juli 2021 gerichtete Beschwerde abwies, zugleich aber die Akten an die Suva überwies, damit sie über einen allfälligen Leistungsanspruch hinsichtlich der Schulterprobleme rechts sowie der psychischen Probleme entscheide,</w:t>
      </w:r>
    </w:p>
    <w:p>
      <w:r>
        <w:t>dass die Beschwerdeführerin in dieser Überweisung einen selbstständig eröffneten Zwischenentscheid erblickt, der unter den Voraussetzungen nach Art. 93 BGG vor Bundesgericht selbstständig anfechtbar sei,</w:t>
      </w:r>
    </w:p>
    <w:p>
      <w:r>
        <w:t>dass entgegen dem dazu Vorgetragenen kein nicht wiedergutzumachender Nachteil im Sinne von Art. 93 Abs. 1 lit. a BGG ausgewiesen ist, da die Beschwerdeführerin vor Vorinstanz formell lediglich angehalten worden ist, über einen</w:t>
      </w:r>
    </w:p>
    <w:p>
      <w:r>
        <w:t>allfälligen Leistungsanspruch zu befinden; darüber hinaus bestehen keine verbindlichen Vorgaben, insbesondere ist die Suva nicht verpflichtet, allenfalls entgegen ihrer Überzeugung einen materiellen Entscheid zu erlassen; will sie die Leistungsansprüche aus formellen Gründen ablehnen, kann sie auch so verfahren; entscheidend ist allein, dass ein anfechtbarer Entscheid darüber ergeht,</w:t>
      </w:r>
    </w:p>
    <w:p>
      <w:r>
        <w:t>dass mit der Gutheissung der Beschwerde ein bedeutender Aufwand an Zeit oder Kosten für ein weitläufiges Beweisverfahren erspart würde im Sinne von Art. 93 Abs. 1 lit. b BGG , ist weder dargetan noch offensichtlich (zur diesbezüglichen Begründungspflicht: BGE 141 III 80 E. 1.2; 141 IV 289 E. 1.3; je mit Hinweisen),</w:t>
      </w:r>
    </w:p>
    <w:p>
      <w:r>
        <w:t>dass dies zu einem Nichteintreten auf die Beschwerde im vereinfachten Verfahren nach Art. 108 Abs. 1 lit. a BGG führt,</w:t>
      </w:r>
    </w:p>
    <w:p>
      <w:r>
        <w:t>dass die Gerichtskosten ausgangsgemäss der Beschwerdeführerin zu überbinden sind ( Art. 66 Abs. 1 und Abs.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Bern und dem Bundesamt für Gesundheit schriftlich mitgeteilt.</w:t>
      </w:r>
    </w:p>
    <w:p>
      <w:r>
        <w:t>Luzern, 24. März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