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106/2020 vom 17. März 2020</w:t>
      </w:r>
    </w:p>
    <w:p>
      <w:r>
        <w:t>Bundesgericht, 2020-03-17, DE</w:t>
      </w:r>
    </w:p>
    <w:p>
      <w:r>
        <w:rPr>
          <w:b/>
        </w:rPr>
        <w:t xml:space="preserve">Quelle: </w:t>
      </w:r>
      <w:r>
        <w:t>https://mcp.opencaselaw.ch/entscheid/bger_8C_106_2020</w:t>
      </w:r>
    </w:p>
    <w:p>
      <w:r>
        <w:t>FR: TF 8C 106/2020 du 17 mars 2020</w:t>
      </w:r>
    </w:p>
    <w:p>
      <w:r>
        <w:t>IT: TF 8C 106/2020 del 17 marzo 2020</w:t>
      </w:r>
    </w:p>
    <w:p>
      <w:pPr>
        <w:pStyle w:val="Heading2"/>
      </w:pPr>
      <w:r>
        <w:t>Regeste</w:t>
      </w:r>
    </w:p>
    <w:p>
      <w:r>
        <w:t>Unfallversicherung (Kausalzusammenhang) | Unfallversicherung</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und zu prüfen ist, ob das kantonale Gericht zu Recht die Leistungseinstellung der Unfallversicherung per 31. Oktober 2017 bestätigte.</w:t>
      </w:r>
    </w:p>
    <w:p>
      <w:r>
        <w:rPr>
          <w:b/>
        </w:rPr>
        <w:t>E. 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 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SVR 2017 UV Nr. 8 S. 27, 8C_193/2016 E. 3.3).</w:t>
      </w:r>
    </w:p>
    <w:p>
      <w:r>
        <w:rPr>
          <w:b/>
        </w:rPr>
        <w:t>E. 4.1</w:t>
      </w:r>
    </w:p>
    <w:p>
      <w:r>
        <w:t>Das kantonale Gericht hat in umfassender Würdigung der medizinischen Akten, insbesondere aber unter Berücksichtigung des Berichts des Suva-Arztes Dr. med. C.________, Facharzt für Orthopädie und Unfallchirurgie, vom 6. September 2018 erwogen, die über den 31. Oktober 2017 hinaus anhaltend geklagten Beschwerden seien nicht auf einen im Sinne der Rechtsprechung organisch hinreichend ausgewiesen Gesundheitsschaden zurückzuführen. Was der Beschwerdeführer gegen diese Würdigung vorbringt, gibt zu keiner abweichenden Betrachtungsweise Anlass. Gemäss ständiger Rechtsprechung kann - auch mit Blick auf den aus dem Recht auf ein faires Verfahren nach Art. 6 Ziff. 1 EMRK fliessenden Grundsatz der Waffengleichheit - auf den Bericht versicherungsinterner Fachärzte abgestellt werden, wenn auch keine nur geringen Zweifel an der Richtigkeit ihrer Schlussfolgerungen bestehen (vgl. BGE 135 V 465 E. 4.7 S. 471). Liegen bezüglich der entscheidwesentlichen medizinischen Tatsachen keine vom Bericht der versicherungsinternen Fachärzte abweichenden Stellungnahmen anderer medizinischer Fachpersonen vor, so werden solche Zweifel in aller Regel zu verneinen sein (vgl. etwa Urteil 8C_786/2019 vom 20. Februar 2020 E. 4.1). Da der Versicherte nicht aufzuzeigen vermag, dass die über den 31. Oktober 2017 hinaus anhaltend geklagten Beschwerden von versicherungsexternen Fachpersonen als organisch hinreichend nachweisbar qualifiziert worden wären, hat die Vorinstanz zu Recht auch nur geringe Zweifel an der Richtigkeit der Schlussfolgerungen des versicherungsinternen Arztes verneint. Daran ändert auch nichts, dass diese ausschliesslich gestützt auf die Akten verfasst wurden.</w:t>
      </w:r>
    </w:p>
    <w:p>
      <w:r>
        <w:rPr>
          <w:b/>
        </w:rPr>
        <w:t>E. 4.2</w:t>
      </w:r>
    </w:p>
    <w:p>
      <w:r>
        <w:t>Im Weiteren hat das kantonale Gericht die Frage nach dem Bestand des natürlichen Kausalzusammenhanges zwischen dem Ereignis vom 9. Januar 2014 und den über den 31. Oktober 2017 hinaus geklagten, organisch nicht hinreichend nachweisbaren Beschwerden offengelassen, da es in seinen weiteren Erwägungen zum Schluss kam, dass ein allfälliger natürlicher Kausalzusammenhang nicht adäquat und damit nicht rechtsgenüglich wäre. Auch diese Vorgehensweise ist praxisgemäss nicht zu beanstanden (vgl. BGE 135 V 465 E. 5.1 S. 472). Entgegen den Vorbringen des Beschwerdeführers verpflichten weder der Untersuchungsgrundsatz noch Art. 6 Ziff. 1 EMRK die Gerichte, über Tatsachen Beweise zu erheben, welche für den Ausgang des Verfahrens nicht erheblich sind. Der Beschwerdeführer legt nicht dar, inwiefern die vorinstanzliche Verneinung der Adäquanz gestützt auf eine spezielle Adäquanzprüfung nach BGE 115 V 133 fehlerhaft gewesen sein sollte. Damit durfte die Vorinstanz - ohne dass sie verpflichtet gewesen wäre, den Sachverhalt medizinisch weiter abzuklären - die Leistungseinstellung der Suva bestätigen; die Beschwerde des Versicherten ist abzuweisen.</w:t>
      </w:r>
    </w:p>
    <w:p>
      <w:r>
        <w:rPr>
          <w:b/>
        </w:rPr>
        <w:t>E. 5</w:t>
      </w:r>
    </w:p>
    <w:p>
      <w:r>
        <w:t>Da die Beschwerde offensichtlich unbegründet ist, wird sie im Verfahren nach Art. 109 Abs. 2 lit. a BGG erledigt.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