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105/2024 vom 30. April 2024</w:t>
      </w:r>
    </w:p>
    <w:p>
      <w:r>
        <w:t>Bundesgericht, 2024-04-30, DE</w:t>
      </w:r>
    </w:p>
    <w:p>
      <w:r>
        <w:rPr>
          <w:b/>
        </w:rPr>
        <w:t xml:space="preserve">Quelle: </w:t>
      </w:r>
      <w:r>
        <w:t>https://mcp.opencaselaw.ch/entscheid/bger_8C_105_2024</w:t>
      </w:r>
    </w:p>
    <w:p>
      <w:r>
        <w:t>FR: TF 8C 105/2024 du 30 avril 2024</w:t>
      </w:r>
    </w:p>
    <w:p>
      <w:r>
        <w:t>IT: TF 8C 105/2024 del 30 aprile 2024</w:t>
      </w:r>
    </w:p>
    <w:p>
      <w:pPr>
        <w:pStyle w:val="Heading2"/>
      </w:pPr>
      <w:r>
        <w:t>Regeste</w:t>
      </w:r>
    </w:p>
    <w:p>
      <w:r>
        <w:t>Arbeitslosenversicherung (Rückerstattung)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2.1</w:t>
      </w:r>
    </w:p>
    <w:p>
      <w:r>
        <w:t>Streitig und zu prüfen ist, ob die Vorinstanz Bundesrecht verletzt hat, indem sie festgestellt hat, dass die Beschwerdeführerin nach ihrer Anmeldung zum Leistungsbezug wegen ihrer arbeitgeberähnlichen Stellung keinen Anspruch auf Arbeitslosenentschädigung für die Zeit von April bis August 2021 gehabt habe und die Rückforderung der ausgerichteten Arbeitslosentaggelder im Betrag von Fr. 16'430.10 schützte. Nicht mehr streitig ist ein Anspruch von A.________ auf Leistungen der Arbeitslosenversicherung ab 1. Februar 2023.</w:t>
      </w:r>
    </w:p>
    <w:p>
      <w:r>
        <w:rPr>
          <w:b/>
        </w:rPr>
        <w:t>E. 2.2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 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ARV 2004 S. 196, C 113/03 E. 3.2; Urteil 8C_319/2022 vom 12. Oktober 2022 E. 5;).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w:t>
      </w:r>
    </w:p>
    <w:p>
      <w:r>
        <w:rPr>
          <w:b/>
        </w:rPr>
        <w:t>E. 2.3</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vorbestehender neuer Tatsachen oder Beweismittel; Art. 53 Abs. 1 ATSG ) geltenden Voraussetzungen erfüllt sind ( BGE 130 V 318 E. 5.2).</w:t>
      </w:r>
    </w:p>
    <w:p>
      <w:r>
        <w:rPr>
          <w:b/>
        </w:rPr>
        <w:t>E. 3</w:t>
      </w:r>
    </w:p>
    <w:p>
      <w:r>
        <w:t>Die Vorinstanz hat festgestellt, die Beschwerdeführerin und ihr Ehemann seien gemäss Handelsregisterauszug des Kantons Zürich vom 10. Januar 2023 seit 13. April 2005 als Gesellschafter, der Ehemann zudem auch als Geschäftsführer, der B.________ GmbH im Handelsregister eingetragen. Im Antrag auf Arbeitslosenentschädigung vom 12. April 2021 habe die Beschwerdeführerin dementgegen verneint, dass sie oder ihr Ehemann einem obersten betrieblichen Entscheidungsgremium angehören würden. Sie sei nach wie vor als Gesellschafterin der GmbH im Handelsregister eingetragen, weshalb sie bereits von Gesetzes wegen einen massgeblichen Einfluss auf die B.________ GmbH nehmen könne, was einer Anspruchsberechtigung entgegen stehe. Aufgrund ihrer arbeitgeberähnlichen Stellung und derjenigen ihres Ehemannes habe insbesondere während der Kontrollperioden April bis August 2021 die Möglichkeit einer erneuten Anstellung bestanden. Auch als mitarbeitende Ehegattin einer arbeitgeberähnlichen Person sei sie, auch wenn sie sich in Scheidung befinde, bis zum Scheidungsurteil nicht anspruchsberechtigt. Die Vorinstanz hat die Rechtmässigkeit einer Rückforderung im Betrag von Fr. 16'430.10 gestützt auf den Rückkommenstitel der Wiedererwägung nach Art. 53 Abs. 2 ATSG demzufolge bejaht.</w:t>
      </w:r>
    </w:p>
    <w:p>
      <w:r>
        <w:rPr>
          <w:b/>
        </w:rPr>
        <w:t>E. 4.1</w:t>
      </w:r>
    </w:p>
    <w:p>
      <w:r>
        <w:t>Die Vorbringen der Beschwerdeführerin vermögen die Betrachtungsweise der Vorinstanz nicht in Zweifel zu ziehen. Deren tatsächliche Feststellungen sind nicht mangelhaft im Sinne von Art. 97 Abs. 1 BGG und die rechtliche Würdigung ist bundesrechtskonform. Die mit BGE 123 V 234 begründete Rechtsprechung, wonach die Bestimmung von Art. 31 Abs. 3 lit. c AVIG analog auf Arbeitslosenentschädigung beantragende arbeitgeberähnliche Personen und deren Ehegatten anzuwenden ist, zielt auf die Verhinderung einer rechtsmissbräuchlichen Gesetzesumgehung ab ( BGE 123 V 234 E. 7).</w:t>
      </w:r>
    </w:p>
    <w:p>
      <w:r>
        <w:rPr>
          <w:b/>
        </w:rPr>
        <w:t>E. 4.2</w:t>
      </w:r>
    </w:p>
    <w:p>
      <w:r>
        <w:t>Anders als die Beschwerdeführerin anzunehmen scheint, ist in der vorliegenden Konstellation der Ausschluss vom Anspruch auf Arbeitslosenentschädigung absolut zu verstehen, und zwar ungeachtet der Höhe der gehaltenen Gesellschaftsanteile (vgl. bezügl. arbeitgeberähnliche Personen als Liquidatoren des Betriebs: Urteil 8C_379/2022 vom 21. November 2022 E. 5). Wie die Vorinstanz bereits zutreffend erwogen hat, fällt hier eine Einzelfallprüfung ausser Betracht. Das Bundesgericht hat mit BGE 145 V 200 E. 4.1 ff. bekräftigt, dass an der Rechtsprechung, wonach sich der massgebliche Einfluss eines Gesellschafters oder einer Gesellschafterin einer GmbH nach schweizerischem Recht (mit oder ohne Geschäftsführerfunktion) bereits aus der Gesellschafterstellung an sich ergibt, festzuhalten ist. An ihrer arbeitgeberähnlichen Stellung als Gesellschafterin der GmbH ändert auch mit der Vorinstanz ihr Einwand nichts, wonach sie aus gesundheitlichen Gründen nicht mehr in der angestammten Funktion als Köchin arbeiten könne und konkret keine leidensangepasste Tätigkeit im Restaurant zur Verfügung gestanden sei. Von einem definitiven Ausscheiden aus dem Betrieb kann daher keine Rede sein, auch wenn sie dort nicht mehr als Köchin oder in einer anderen leidensangepassten Tätigkeit arbeitet. Ernsthafte sachliche Gründe für eine Rechtsprechungsänderung ergeben sich aus den Einwendungen der Beschwerdeführerin nicht (zu den Voraussetzungen: BGE 145 V 304 E. 4.4; 141 II 297 E. 5.5.1; 137 V 417 E. 2.2.2).</w:t>
      </w:r>
    </w:p>
    <w:p>
      <w:r>
        <w:rPr>
          <w:b/>
        </w:rPr>
        <w:t>E. 4.3</w:t>
      </w:r>
    </w:p>
    <w:p>
      <w:r>
        <w:t>Zu keinem anderen Ergebnis führt der Umstand, dass sich die Beschwerdeführerin in den hier massgebenden Monaten in einem Scheidungsverfahren befand. Da bis zum Scheidungsurteil das Risiko eines Missbrauchs genügt ( BGE 142 V 263 ), kann auch unter diesem Aspekt von einer Prüfung der konkreten Gegebenheiten abgesehen werden (vgl. Urteil 8C_850/2010 vom 28. Januar 2011 E. 4.2). Mit Blick auf ihre Stellung in der Unternehmung, die sie nach wie vor innehat, ist eine Missbrauchsgefahr ohne Weiteres zu bejahen (E. 2.2 vorne), ein konkretes missbräuchliches Verhalten ist für die Verneinung eines Leistungsanspruchs nicht vorausgesetzt.</w:t>
      </w:r>
    </w:p>
    <w:p>
      <w:r>
        <w:rPr>
          <w:b/>
        </w:rPr>
        <w:t>E. 4.4</w:t>
      </w:r>
    </w:p>
    <w:p>
      <w:r>
        <w:t>Soweit die Beschwerdeführerin appellatorische Kritik am vorinstanzlichen Urteil übt, indem sie ihre eigene - in der Sache überwiegend bereits im kantonalen Beschwerdeverfahren vorgetragene - Sicht der Dinge wiederholt, ohne sich unter Willkürgesichtspunkten mit den vorinstanzlichen Feststellungen auseinanderzusetzen, ist dies unzulässig. Damit lässt sich keine offensichtliche Unrichtigkeit des vorinstanzlichen Urteils in tatsächlicher Hinsicht oder dessen anderweitige Bundesrechtswidrigkeit begründen (vgl. E. 1.2 vorne und BGE 144 I 113 E. 7.2). Die Vorinstanz durfte daher ohne Verletzung von Bundesrecht den Anspruch auf Arbeitslosenentschädigung in den Kontrollperioden April bis August 2021 verneinen und die Rückforderung der zu Unrecht erbrachten Taggeldleistungen als rechtens ansehen. Damit hat es beim vorinstanzlichen Urteil sein Bewenden.</w:t>
      </w:r>
    </w:p>
    <w:p>
      <w:r>
        <w:rPr>
          <w:b/>
        </w:rPr>
        <w:t>E. 5</w:t>
      </w:r>
    </w:p>
    <w:p>
      <w:r>
        <w:t>Die Beschwerde ist offensichtlich unbegründet, weshalb sie im vereinfachten Verfahren nach Art. 109 Abs. 2 lit. a BGG mit summarischer Begründung und unter Hinweis auf die Erwägungen im angefochtenen Entscheid erledigt wird ( Art. 109 Abs. 3 BGG ).</w:t>
      </w:r>
    </w:p>
    <w:p>
      <w:r>
        <w:rPr>
          <w:b/>
        </w:rPr>
        <w:t>E. 6</w:t>
      </w:r>
    </w:p>
    <w:p>
      <w:r>
        <w:t>Mit dem Entscheid in der Sache wird das Gesuch um aufschiebende Wirkung gegenstandslos.</w:t>
      </w:r>
    </w:p>
    <w:p>
      <w:r>
        <w:rPr>
          <w:b/>
        </w:rPr>
        <w:t>E. 7</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