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8C_1059/2009 vom 10. März 2010</w:t>
      </w:r>
    </w:p>
    <w:p>
      <w:r>
        <w:t>Bundesgericht, 2010-03-10, DE</w:t>
      </w:r>
    </w:p>
    <w:p>
      <w:r>
        <w:rPr>
          <w:b/>
        </w:rPr>
        <w:t xml:space="preserve">Quelle: </w:t>
      </w:r>
      <w:r>
        <w:t>https://mcp.opencaselaw.ch/entscheid/bger_8C_1059_2009</w:t>
      </w:r>
    </w:p>
    <w:p>
      <w:r>
        <w:t>FR: TF 8C_1059/2009 du 10 mars 2010</w:t>
      </w:r>
    </w:p>
    <w:p>
      <w:r>
        <w:t>IT: TF 8C_1059/2009 del 10 marzo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rPr>
          <w:b/>
        </w:rPr>
        <w:t>E. 2.2</w:t>
      </w:r>
    </w:p>
    <w:p>
      <w:r>
        <w:t>Mit Verfügung vom 19. Januar 2007 stellte die SUVA sämtliche Leistungen per 31. Januar 2007 ein, da die über dieses Datum hinaus anhaltend geklagten Beschwerden nicht adäquat kausal durch das Unfallereignis verursacht worden seien. Bereits in seiner Einsprache vom 19. Februar 2007 beantragte der Versicherte ausdrücklich, es seien nicht nur Heilbehandlungsleistungen auszurichten, sondern auch der Anspruch auf Rentenleistungen und Integritätsentschädigung zu prüfen. Die SUVA bestätigte mit Einspracheentscheid vom 18. Oktober 2007 ihre Verfügung, wiederum begründet mit der fehlenden Adäquanz eines Kausalzusammenhanges. In der Beschwerde an das kantonale Gericht wie auch in der Beschwerde an das Bundesgericht beantragte der Beschwerdeführer wiederum neben der Weiterausrichtung der Heilbehandlungsleistungen über den 31. Januar 2007 hinaus, die Prüfung des Anspruchs auf Rentenleistungen und auf Integritätsentschädigung.</w:t>
      </w:r>
    </w:p>
    <w:p>
      <w:r>
        <w:rPr>
          <w:b/>
        </w:rPr>
        <w:t>E. 2.3</w:t>
      </w:r>
    </w:p>
    <w:p>
      <w:r>
        <w:t>Das kantonale Gericht ist in seinem kaum verständlichen 11-seitigen dass-Entscheid auf die Anträge des Beschwerdeführers betreffend Rentenleistungen und Integritätsentschädigung nicht eingetreten, mit der Begründung, dass es diesbezüglich an einem Einspracheentscheid mangelt. Dies trifft entsprechend den Akten nicht zu. Haben Verfügung und Einspracheentscheid Bestand, so steht fest, dass der Versicherte - mangels eines adäquaten Kausalzusammenhanges - nicht nur keinen Anspruch auf Heilbehandlungsleistungen zu Lasten der Unfallversicherung, sondern auch keinen Anspruch auf Rentenleistung oder auf Integritätsentschädigung hat. Entgegen den vorinstanzlichen Ausführungen gehören diese Ansprüche somit ebenfalls zum Streitgegenstand. Dies hatte die Vorinstanz in ihrer Verfügung vom 22. Februar 2008 betreffend Wiederherstellung der aufschiebenden Wirkung der Beschwerde zunächst auch zutreffend erkannt. Demgegenüber hat sie gegen Bundesrecht verstossen, als sie im angefochtenen Entscheid vom 30. Oktober 2009 davon ausgegangen ist, lediglich Heilbehandlungsleistungen seien streitig und die Leistungseinstellung ausschliesslich damit begründet hat, dass von einer Fortsetzung der ärztlichen Behandlung keine namhafte Besserung des Gesundheitszustandes mehr zu erwarten war. Daran vermag auch der Umstand nichts zu ändern, dass der Beschwerdeführer über längere Zeit seine bisherige Tätigkeit zu 100 % ausführen konnte und somit kein Taggeld ausbezahlt wurde. Die Beschwerde ist demnach gutzuheissen und die Sache ist an die Vorinstanz zurückzuweisen, damit diese über alle streitigen Belange materiell entscheide. In diesem Zusammenhang gilt es auch über die im kantonalen Gerichtsentscheid aufgeworfene Frage nach einer durch den Unfall bewirkten vorübergehenden oder richtunggebenden Verschlimmerung der vorbestehenden degenerativen HWS-Veränderungen zu entscheiden. Aufgrund des engen Zusammenhanges zwischen den Heilbehandlungs- und den übrigen Leistungen rechtfertigt es sich, den kantonalen Entscheid vollumfänglich aufzuheben. Dem Beschwerdeführer ist hinsichtlich der zwischenzeitlich präzisierten Schleudertraumarechtsprechung ( BGE 134 V 109 ) das rechtliche Gehör zu gewähren.</w:t>
      </w:r>
    </w:p>
    <w:p>
      <w:r>
        <w:rPr>
          <w:b/>
        </w:rPr>
        <w:t>E. 3</w:t>
      </w:r>
    </w:p>
    <w:p>
      <w:r>
        <w:t>Bei diesem Verfahrensausgang sind die Gerichtskosten der Beschwerdegegnerin aufzuerlegen ( Art. 66 Abs. 1 Satz 1 BGG ). Mit diesem Entscheid in der Sache wird das Gesuch des Beschwerdeführers um aufschiebende Wirkung der Beschwerde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