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8C_1050/2009 vom 28. April 2010</w:t>
      </w:r>
    </w:p>
    <w:p>
      <w:r>
        <w:t>Bundesgericht, 2010-04-28, DE</w:t>
      </w:r>
    </w:p>
    <w:p>
      <w:r>
        <w:rPr>
          <w:b/>
        </w:rPr>
        <w:t xml:space="preserve">Quelle: </w:t>
      </w:r>
      <w:r>
        <w:t>https://mcp.opencaselaw.ch/entscheid/bger_8C_1050_2009</w:t>
      </w:r>
    </w:p>
    <w:p>
      <w:r>
        <w:t>FR: TF 8C_1050/2009 du 28 avril 2010</w:t>
      </w:r>
    </w:p>
    <w:p>
      <w:r>
        <w:t>IT: TF 8C_1050/2009 del 28 aprile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die Höhe der Invalidenrente. Die Rechtsgrundlagen für die Beurteilung der Streitsache wurden im angefochtenen Entscheid zutreffend dargelegt. Darauf wird verwiesen.</w:t>
      </w:r>
    </w:p>
    <w:p>
      <w:r>
        <w:rPr>
          <w:b/>
        </w:rPr>
        <w:t>E. 3.1</w:t>
      </w:r>
    </w:p>
    <w:p>
      <w:r>
        <w:t>Die Parteien sind sich darin einig, dass der Versicherte als Folge des erlittenen Treppensturzes mit rechtsseitiger Unterarmfraktur nach der Osteosynthese an einer axonalen Neuropathie des Nervus radialis nach Abgang zum Musculus Triceps brachii leidet, und sich im Verlauf ein Complex Regional Pain Syndrom (CRPS) Typ II (DD: Druckneuropathie, peri- oder postoperative Komplikation; im Verlauf CRPS Typ II) entwickelte. Es besteht eine praktisch funktionslose rechte obere Extremität mit Schmerzen und Allodynie ab Ellbogenhöhe sowie ein rechtsseitiges myofasziales Schmerzsyndrom am Oberarm, Schultergürtel und Nacken (Austrittsbericht der Klinik Y.________ vom 10. Juni 2008). Ebenso steht unstreitig fest, dass mit Blick auf die Einschätzung der Restarbeitsfähigkeit auf die Angaben im Austrittsbericht der Klinik Y.________ abzustellen ist, wonach aufgrund der funktionellen Einhändigkeit die letzte berufliche Tätigkeit als Siedlungswart nicht mehr zumutbar ist. Als ganztags zumutbar erachteten die Ärzte hingegen eine ganz leichte Tätigkeit mit zusätzlich zwei Stunden Pausen pro Tag zur Erholung bei starken Schmerzen und wegen der medikamentenbedingten erhöhten Müdigkeit. Dabei kommen nur Tätigkeiten in Frage, die rein einhändig mit der linken Hand und vorwiegend sitzend ausgeführt werden können, damit der rechte Arm auf dem Tisch gelagert werden kann. Zwangshaltungen sind ebenso unzumutbar wie Arbeiten in Kälte und Tätigkeiten mit hohen kognitiven Anforderungen wegen der vermehrten Müdigkeit und Konzentrationsstörungen.</w:t>
      </w:r>
    </w:p>
    <w:p>
      <w:r>
        <w:rPr>
          <w:b/>
        </w:rPr>
        <w:t>E. 3.2</w:t>
      </w:r>
    </w:p>
    <w:p>
      <w:r>
        <w:t>Der Beschwerdeführer wirft der Vorinstanz realitätsfremde Annahmen bezüglich der Einsatzmöglichkeiten auf dem ausgeglichenen Arbeitsmarkt vor. Es stellt sich demnach die (Rechts-)Frage, ob der in Betracht zu ziehende ausgeglichene Arbeitsmarkt ( BGE 110 V 273 E. 4b S. 276; vgl. auch BGE 130 V 343 E. 3.2 S. 346 f.) dem Beschwerdeführer trotz seiner funktionellen Einschränkung noch zumutbare Einsatzmöglichkeiten bietet, sodass bei der Bestimmung des Invalideneinkommens auf die tabellarisch festgehaltenen Lohnangaben gemäss der vom Bundesamt für Statistik herausgegebenen Lohnstrukturerhebung (LSE) ausgegangen werden kann.</w:t>
      </w:r>
    </w:p>
    <w:p>
      <w:r>
        <w:rPr>
          <w:b/>
        </w:rPr>
        <w:t>E. 3.3</w:t>
      </w:r>
    </w:p>
    <w:p>
      <w:r>
        <w:t>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E. 5.1 mit Hinweis [9C_830/2007]).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9C_82/2009 vom 9. Oktober 2009 E. 5.5 mit Hinweisen).</w:t>
      </w:r>
    </w:p>
    <w:p>
      <w:r>
        <w:rPr>
          <w:b/>
        </w:rPr>
        <w:t>E. 3.4</w:t>
      </w:r>
    </w:p>
    <w:p>
      <w:r>
        <w:t>Die faktische Einhändigkeit oder die Beschränkung der dominanten Hand als Zudienhand, stellen nach der Rechtsprechung Tatbestände einer erheblich erschwerten Verwertbarkeit der Arbeitsfähigkeit auch auf einem ausgeglichenen Arbeitsmarkt dar. Dennoch wurde von der Rechtsprechung wiederholt bestätigt, dass auf dem ausgeglichenen Arbeitsmarkt genügend realistische Betätigungsmöglichkeiten für Personen, welche funktionell als Einarmige zu betrachten sind und überdies nur noch leichte Arbeit verrichten können, zu finden sind (Urteile 8C_971/2008 vom 23. März 2009, E. 4.2.5, 8C_1005/2008 vom 17. April 2009 E. 2.3.2, 9C_418/2008 vom 17. September 2008, E. 3.2 und E. 3.3, 8C_810/2009 vom 3. März 2010, E. 2.6.4; I 74/07 vom 11. Dezember 2007, E. 4.1 je mit Hinweisen).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Zu denken ist demnach an einfache Überwachungs-, Prüf- und Kontrolltätigkeiten sowie an die Bedienung und Überwachung von (halb-)automatischen Maschinen oder Produktionseinheiten, die keinen Einsatz von rechtem Arm und rechter Hand voraussetzen (vgl. Urteile 9C_418/2008 vom 17. September 2008, E. 3.2.2, 8C_635/2007 vom 27. August 2008 E. 4.2 je mit Hinweisen). Entgegen den Einwendungen in der Beschwerde ist nach dem Gesagten davon auszugehen, dass der Versicherte nicht bloss an einem geschützten Arbeitsplatz ein Einkommen erzielen könnte. Gründe, die zu einer anderen Betrachtungsweise Anlass geben würden, werden keine vorgebracht, weshalb die vorinstanzliche Schlussfolgerung zu bestätigen ist, wonach der Beschwerdeführer die verbliebene Arbeitskraft bei ausgeglichener Arbeitsmarktlage wirtschaftlich verwerten könnte.</w:t>
      </w:r>
    </w:p>
    <w:p>
      <w:r>
        <w:rPr>
          <w:b/>
        </w:rPr>
        <w:t>E. 3.5</w:t>
      </w:r>
    </w:p>
    <w:p>
      <w:r>
        <w:t>Mit Blick auf die erwerblichen Auswirkungen des Gesundheitsschadens hat die Vorinstanz zur Ermittlung des Invalideneinkommens damit richtigerweise LSE-Tabellenlöhne beigezogen. Einer erschwerten Verwertbarkeit der trotz des Gesundheitsschadens noch zumutbaren Arbeitsfähigkeit kann dabei allenfalls dadurch Rechnung getragen werden, dass auf einen anderen als auf den durchschnittlichen Lohn in allen Wirtschaftszweigen des privaten Sektors («Total») abgestellt wird ( BGE 129 V 472 E. 4.3.2 S. 483; RKUV 2001 Nr. U 439 S. 47 [U 240/99]). Diese Ausnahmeregelung kommt nur, aber immerhin dann zum Zuge, wenn der Verwertbarkeit der verbliebenen Arbeitsfähigkeit derart enge Grenzen gesetzt sind, dass praktisch alle Tätigkeiten eines bestimmten Wirtschaftszweiges ausser Betracht fallen (RKUV a.a.O.; Urteil I 295/06 vom 19. September 2006 E. 3.2.1). Vorinstanz und SUVA sind vorliegend vom Regelfall abgewichen und haben auf die Löhne im Dienstleistungssektor abgestellt, welche bei Männern im Anforderungsniveau 4 deutlich unter dem Totalwert liegen, worauf bereits das kantonale Gericht hinwies. Ob hier die Arbeitsfähigkeit aufgrund der medizinischen Vorgaben tatsächlich auf den Dienstleistungssektor beschränkt ist oder ob die medizinischen Vorgaben nicht doch einen grundsätzlichen Einsatz in allen Wirtschaftszweigen zulassen, wie bereits ausgeführt (E. 3.4) in Industrie und Gewerbe im Rahmen der Überwachung, Kontrolle und Prüfung, braucht nicht abschliessend beurteilt zu werden, da das Bundesgericht nicht über die Parteibegehren hinausgehen und keine reformatio in peius vornehmen darf ( Art. 107 Abs. 1 BGG ; SVR 2009 UV Nr. 17 S. 67, 8C_330/2008 E. 4.5).</w:t>
      </w:r>
    </w:p>
    <w:p>
      <w:r>
        <w:rPr>
          <w:b/>
        </w:rPr>
        <w:t>E. 4.1</w:t>
      </w:r>
    </w:p>
    <w:p>
      <w:r>
        <w:t>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Prozent nicht übersteigen ( BGE 126 V 75 E. 5b/bb-cc S. 80).</w:t>
      </w:r>
    </w:p>
    <w:p>
      <w:r>
        <w:rPr>
          <w:b/>
        </w:rPr>
        <w:t>E. 4.2</w:t>
      </w:r>
    </w:p>
    <w:p>
      <w:r>
        <w:t>Seit BGE 126 V 75 hat die Praxis bei Versicherten, welche ihre dominante Hand gesundheitlich bedingt nur sehr eingeschränkt, beispielsweise als Zudienhand, einsetzen können, verschiedentlich einen Abzug von 20 Prozent oder sogar 25 Prozent als angemessen bezeichnet (Urteil 8C_971/2008 vom 23. März 2009 E. 4.2.6.2 mit Hinweisen). Angesichts der aktenmässig ausgewiesenen unfallbedingten Einschränkungen und dem Fehlen weiterer Abzugsmerkmale lässt sich der vorgenommene leidensbedingte Abzug von 20 % nicht beanstanden. Dass das Ermessen rechtsfehlerhaft ausgeübt worden wäre, wird denn auch nicht vorgebracht (vgl. BGE 132 V 393 E. 3.3 in fine S. 399; SVR 2008 IV Nr. 49 S. 163 E. 1.3 [9C_404/2007]; insbesondere für die Belange der Unfallversicherung: 8C_701/2008 vom 12. Juni 2009 E. 4.2.2 und 8C_664/2007 vom 14. April 2008 E. 8.1; je mit Hinweisen), sodass es mit der vorinstanzlich bestätigten Rentenzusprechung sein Bewenden hat.</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