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104/2020 vom 12. Januar 2021</w:t>
      </w:r>
    </w:p>
    <w:p>
      <w:r>
        <w:t>Bundesgericht, 2021-01-12, FR</w:t>
      </w:r>
    </w:p>
    <w:p>
      <w:r>
        <w:rPr>
          <w:b/>
        </w:rPr>
        <w:t xml:space="preserve">Quelle: </w:t>
      </w:r>
      <w:r>
        <w:t>https://mcp.opencaselaw.ch/entscheid/bger_8C_104_2020</w:t>
      </w:r>
    </w:p>
    <w:p>
      <w:r>
        <w:t>FR: TF 8C 104/2020 du 12 janvier 2021</w:t>
      </w:r>
    </w:p>
    <w:p>
      <w:r>
        <w:t>IT: TF 8C 104/2020 del 12 gennaio 2021</w:t>
      </w:r>
    </w:p>
    <w:p>
      <w:pPr>
        <w:pStyle w:val="Heading2"/>
      </w:pPr>
      <w:r>
        <w:t>Regeste</w:t>
      </w:r>
    </w:p>
    <w:p>
      <w:r>
        <w:t>Droit de la fonction publique (résiliation des rapports de service) | Fonction publique</w:t>
      </w:r>
    </w:p>
    <w:p>
      <w:pPr>
        <w:pStyle w:val="Heading2"/>
      </w:pPr>
      <w:r>
        <w:t>Erwägungen</w:t>
      </w:r>
    </w:p>
    <w:p>
      <w:r>
        <w:rPr>
          <w:b/>
        </w:rPr>
        <w:t>E. 1</w:t>
      </w:r>
    </w:p>
    <w:p>
      <w:r>
        <w:t>L'arrêt entrepris a été rendu en matière de rapports de travail de droit public au sens de l' art. 83 let . g LTF. Dans la mesure où la contestation porte sur la fin de ces rapports, il s'agit d'une contestation pécuniaire (arrêt 8C_448/2012 du 17 janvier 2013, consid. 1.1 non publié à l' ATF 139 II 7 ), de sorte que le motif d'exclusion de l' art. 83 let . g LTF n'entre pas en considération. La valeur litigieuse atteint par ailleurs le seuil de 15'000 fr. ouvrant la voie du recours en matière de droit public en ce domaine (art. 51 al. 2 et 85 al. 1 let. b LTF). Interjeté en temps utile ( art. 100 al. 1 LTF ) et dans les formes requises ( art. 42 LTF ) contre une décision finale ( art. 90 LTF ) prise par l'autorité cantonale de dernière instance ( art. 86 al. 1 let . d LTF), le recours est dès lors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 Appelé à revoir l'interprétation d'une norme cantonale ou communale - y compris des dispositions du code des obligations applicables à titre de droit cantonal ou communal supplétif ( ATF 140 I 320 consid. 3.3 p. 322) -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p. 124 et la référence).</w:t>
      </w:r>
    </w:p>
    <w:p>
      <w:r>
        <w:rPr>
          <w:b/>
        </w:rPr>
        <w:t>E. 3.1</w:t>
      </w:r>
    </w:p>
    <w:p>
      <w:r>
        <w:t>Sous le titre marginal "Licenciement pour motif fondé après la période probatoire", l'art. 58 du Statut du personnel de la Ville de B.________ prévoit qu'après la période probatoire, le conseil administratif peut, pour des motifs fondés, licencier un fonctionnaire moyennant un délai de résiliation de trois mois pour la fin d'un mois (ch. 1). Par motifs fondés, il faut entendre toutes circonstances qui, d'après les règles de la bonne foi, ne permettent plus de maintenir les rapports de service; sont notamment considérés comme motifs fondés l'insuffisance des prestations, l'inaptitude à remplir les exigences du poste, la disparition durable d'une condition d'engagement, un manquement grave ou répété aux devoirs généraux (ch. 2). L'art. 85 ch. 1 du Statut du personnel octroie à la Chambre administrative, si elle retient que le licenciement est contraire au Statut du personnel ou abusif au sens de l' art. 336 CO , la possibilité de proposer au conseil administratif la réintégration du membre du personnel concerné. Selon l'art. 85 ch. 2 du Statut du personnel, en cas de refus du conseil administratif, la Chambre administrative alloue au membre du personnel une indemnité dont le montant est fixé en prenant en compte l'ensemble des circonstances et s'élève au maximum à vingt-quatre mois de traitement pour un fonctionnaire après période probatoire.</w:t>
      </w:r>
    </w:p>
    <w:p>
      <w:r>
        <w:rPr>
          <w:b/>
        </w:rPr>
        <w:t>E. 3.2</w:t>
      </w:r>
    </w:p>
    <w:p>
      <w:r>
        <w:t>En l'espèce, la Chambre administrative a retenu qu'il ressortait des faits de la cause que l'intimé avait tenu compte des difficultés relationnelles entre D.________ et le recourant et qu'il avait agi de manière adéquate pour protéger la personnalité de ce dernier et lui permettre de poursuivre son travail dans de bonnes conditions. En effet, à la suite des difficultés rencontrées avec D.________, le recourant s'était absenté pour raisons de santé dès le 17 novembre 2014. En juillet 2015, afin de lui permettre de reprendre son activité dans de bonnes conditions, il avait été placé sous la responsabilité de E.________, évitant ainsi tout contact direct avec D.________. Durant l'été 2016, à la suite des problèmes que le recourant avait rencontrés dans sa collaboration avec E.________, l'intimé l'avait encore invité à rencontrer le nouveau responsable de l'administration et des ressources humaines afin de trouver une solution moins incisive que le licenciement, mais il n'avait pas su saisir à temps cette opportunité. Après son détachement hiérarchique de D.________, la collaboration du recourant avec E.________ avait posé problème. Lors de l'entretien annuel du 15 février 2016, ce dernier avait fait remarquer qu'il était difficile de collaborer avec le recourant; non seulement sa communication était grippée, voire "frondeuse", mais il se déresponsabilisait de certaines tâches. En avril 2016, la rédaction du CRA 2014 avait également fait l'objet de critiques, le recourant y ayant laissé trop d'imperfections et n'ayant pas rendu ce document à temps. Le retard dans la rédaction de ce document dont il avait la responsabilité - retard qui ne pouvait pas être justifié par les explications fournies par le recourant - constituait un motif fondé de résiliation au sens du Statut du personnel. Il en allait de même des erreurs matérielles relevées dans les travaux du recourant, erreurs que celui-ci ne contestait pas mais dont il tentait à tort de minimiser l'importance. L'intimé lui avait expliqué à plusieurs reprises que ces fautes ne pouvaient pas être tolérées. Lors de l'entretien du mois de février 2016, il lui avait demandé d'améliorer la qualité de sa rédaction, et par courrier du 20 avril 2016, il lui avait encore rappelé que le rôle du conseil administratif n'était pas de vérifier la syntaxe, l'orthographe ou la mise en page. Lors de la séance du 30 mai 2016, il avait été précisé qu'aucune amélioration n'avait été constatée. Les manquements ainsi constatés de manière objective ne découlaient pas des difficultés relationnelles rencontrées avec D.________ et le recourant n'avait pas non plus démontré qu'ils seraient la conséquence d'un climat de travail prétendument délétère. L'insuffisance des prestations, telles qu'attendues de l'employeur, et l'inaptitude à remplir les exigences du poste, telles que perçues par ce dernier, avaient été démontrées, de sorte que la continuation des rapports de service se heurtait à des difficultés objectives. La décision de licenciement était fondée sur des éléments objectifs et des insuffisances démontrées et n'était pas abusive.</w:t>
      </w:r>
    </w:p>
    <w:p>
      <w:r>
        <w:rPr>
          <w:b/>
        </w:rPr>
        <w:t>E. 4.1</w:t>
      </w:r>
    </w:p>
    <w:p>
      <w:r>
        <w:t>Indiquant expressément ne pas contester les faits retenus par l'autorité cantonale, le recourant reproche à celle-ci d'avoir fait une application arbitraire de l'art. 58 du Statut du personnel de la Ville de B.________ ainsi que de l' art. 336 CO , applicable à titre de droit communal supplétif. Il soutient d'abord que l'insuffisance de ses prestations n'aurait pas été établie. En outre, la cour cantonale n'aurait pas examiné le caractère abusif du congé en prenant en compte les conditions de travail et les graves dysfonctionnements dans lesquels le licenciement était intervenu. Enfin, le fait que l'employeur s'était déclaré disposé à surseoir au licenciement envisagé à condition que le recourant abandonne son activité accessoire auprès de C.________ démontrerait que les considérations sur l'insuffisance des prestations n'étaient qu'un prétexte pour ouvrir une procédure de licenciement; il serait ainsi choquant de valider un licenciement pour prestations insuffisantes alors que celles-ci n'auraient pas donné lieu à licenciement si le recourant avait abandonné son activité accessoire.</w:t>
      </w:r>
    </w:p>
    <w:p>
      <w:r>
        <w:rPr>
          <w:b/>
        </w:rPr>
        <w:t>E. 4.2</w:t>
      </w:r>
    </w:p>
    <w:p>
      <w:r>
        <w:t>Ces griefs ne peuvent qu'être rejetés. En effet, le recourant ne démontre nullement que les juges cantonaux auraient constaté les faits de manière arbitraire (cf. consid. 2.1 supra) en retenant que l'insuffisance de ses prestations et son inaptitude à remplir les exigences du poste, pour les motifs exposés (cf. consid. 3.2 supra), étaient avérées. Il ne démontre pas davantage en quoi l'autorité cantonale aurait fait une application arbitraire du droit communal (cf. consid. 2.2. supra) en considérant que ces circonstances ne permettaient plus de maintenir les rapports de service au sens de l'art. 58 du Statut du personnel. Par ailleurs, le fait que l'intimé ait, dans la procédure de licenciement fondée sur une insuffisance de prestations dûment établie, proposé au recourant de surseoir à la décision de licenciement envisagée pour lui donner une ultime opportunité d'améliorer ses prestations - dans un cadre aménagé supposant l'abandon de son activité accessoire auprès de C.________, qui entrait en conflit d'intérêts avec son activité principale de chargé de communication de la commune - ne permet nullement d'affirmer que l'insuffisance de prestations n'aurait été qu'un prétexte pour le licencier. Dès lors que la cour cantonale a retenu en fait, d'une manière qui lie le Tribunal fédéral (cf. consid. 2.1 supra), que l'insuffisance des prestations était avérée et qu'elle constituait le véritable motif du licenciement, le grief de violation arbitraire de l' art. 336 CO , applicable à titre de droit communal supplétif, tombe à faux.</w:t>
      </w:r>
    </w:p>
    <w:p>
      <w:r>
        <w:rPr>
          <w:b/>
        </w:rPr>
        <w:t>E. 5</w:t>
      </w:r>
    </w:p>
    <w:p>
      <w:r>
        <w:t>Vu l'issue du litige, les frais judiciaires seront mis à la charge du recourant ( art. 66 al. 1 LTF ). Dans la mesure où le recours n'était pas d'emblée voué à l'échec et où le recourant ne dispose pas de ressources suffisantes, il remplit cependant les conditions du droit à l'assistance judiciaire ( art. 64 al. 1 et 2 LTF ). Il sera ainsi provisoirement dispensé de payer les frais de justice, tout en étant rendu attentif au fait qu'il devra rembourser la Caisse du tribunal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