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104/2016 vom 4. April 2016</w:t>
      </w:r>
    </w:p>
    <w:p>
      <w:r>
        <w:t>Bundesgericht, 2016-04-04, DE</w:t>
      </w:r>
    </w:p>
    <w:p>
      <w:r>
        <w:rPr>
          <w:b/>
        </w:rPr>
        <w:t xml:space="preserve">Quelle: </w:t>
      </w:r>
      <w:r>
        <w:t>https://mcp.opencaselaw.ch/entscheid/bger_8C_104_2016</w:t>
      </w:r>
    </w:p>
    <w:p>
      <w:r>
        <w:t>FR: TF 8C 104/2016 du 4 avril 2016</w:t>
      </w:r>
    </w:p>
    <w:p>
      <w:r>
        <w:t>IT: TF 8C 104/2016 del 4 aprile 2016</w:t>
      </w:r>
    </w:p>
    <w:p>
      <w:pPr>
        <w:pStyle w:val="Heading2"/>
      </w:pPr>
      <w:r>
        <w:t>Regeste</w:t>
      </w:r>
    </w:p>
    <w:p>
      <w:r>
        <w:t>Unfallversicherung (Prozessvoraussetzung) | Unfallversicherung</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2</w:t>
      </w:r>
    </w:p>
    <w:p>
      <w:r>
        <w:t>Die Beschwerdeschrift hat unter anderem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bzw. Rückweisung des angefochtenen Entscheids zu beantragen, sondern muss einen Antrag in der Sache stellen. Der Beschwerdeführer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f.: s. allerdings auch BGE 133 II 409 E. 1.4.1 S. 414 f.). Der Antrag muss sich zudem auf jene Rechtsfragen beziehen, welche Gegenstand des vorinstanzlichen Verfahrens waren.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134 III 235 E. 2 S. 236 f.; 133 II 409 E. 1.4.1 S. 415). Fehlt es an einem genügenden Begehren in diesem Sinne, kann der Mangel nicht mittels Gewährung einer Nachfrist behoben werden (Umkehrschluss aus Art. 42 Abs. 5 und 6 BGG ; BGE 134 II 244 E. 2.4.2 S. 247, vgl. auch Urteil 4A_402/2011 vom 19. Dezember 2011 E. 1.1).</w:t>
      </w:r>
    </w:p>
    <w:p>
      <w:r>
        <w:rPr>
          <w:b/>
        </w:rPr>
        <w:t>E. 3</w:t>
      </w:r>
    </w:p>
    <w:p>
      <w:r>
        <w:t>In seiner Beschwerdeschrift stellt der Versicherte lediglich einen Rückweisungsantrag. Auch aus der Begründung wird nicht deutlich, was der Beschwerdeführer genau begehrt: In seiner Beschwerde betont er mehrfach, nie eine Rente verlangt zu haben. Es gibt zwar Hinweise darauf, dass es ihm um Unterstützung bei der Wiedereingliederung, eventuell eine Schulungsmassnahme durch die SUVA oder die Invalidenversicherung (IV) gehen könnte. Solche Eingliederungsmassnahmen werden - was auch vom Beschwerdeführer nicht bestritten wird - unter Umständen von der IV, nicht aber von der Unfallversicherung erbracht. Allfällige Ansprüche gegenüber der IV sind aber nach den zutreffenden und unbestritten gebliebenen Erwägungen der Vorinstanz nicht Gegenstand der angefochtenen Verfügung und können damit auch nicht Streitgegenstand des vorliegenden Verfahrens sein. Ergibt sich demnach auch aus der Begründung der Beschwerde nicht, was der Versicherte materiell beantragt, ist auf seine Beschwerde nicht einzutreten.</w:t>
      </w:r>
    </w:p>
    <w:p>
      <w:r>
        <w:rPr>
          <w:b/>
        </w:rPr>
        <w:t>E. 4</w:t>
      </w:r>
    </w:p>
    <w:p>
      <w:r>
        <w:t>Dem Ausgang des Verfahrens entsprechend sind die Gerichtskosten dem Beschwerdeführer aufzuerlegen ( Art. 66 Abs. 1 BGG ). Soweit seine Eingabe vom 3. Februar 2016 als sinngemässes Gesuch um unentgeltliche Rechtspflege zu interpretieren ist, wäre dieses durch die Bezahlung des Kostenvorschusses gegenstandslos geworden (vgl. Urteile 8C_1046/2008 vom 11. März 2009 E. 5 und 8C_521/2007 vom 8. August 2008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