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8C_1048/2010 vom 29. März 2011</w:t>
      </w:r>
    </w:p>
    <w:p>
      <w:r>
        <w:t>Bundesgericht, 2011-03-29, FR</w:t>
      </w:r>
    </w:p>
    <w:p>
      <w:r>
        <w:rPr>
          <w:b/>
        </w:rPr>
        <w:t xml:space="preserve">Quelle: </w:t>
      </w:r>
      <w:r>
        <w:t>https://mcp.opencaselaw.ch/entscheid/bger_8C_1048_2010</w:t>
      </w:r>
    </w:p>
    <w:p>
      <w:r>
        <w:t>FR: TF 8C_1048/2010 du 29 mars 2011</w:t>
      </w:r>
    </w:p>
    <w:p>
      <w:r>
        <w:t>IT: TF 8C_1048/2010 del 29 marzo 2011</w:t>
      </w:r>
    </w:p>
    <w:p>
      <w:pPr>
        <w:pStyle w:val="Heading2"/>
      </w:pPr>
      <w:r>
        <w:t>Erwägungen</w:t>
      </w:r>
    </w:p>
    <w:p>
      <w:r>
        <w:rPr>
          <w:b/>
        </w:rPr>
        <w:t>E. 1</w:t>
      </w:r>
    </w:p>
    <w:p>
      <w:r>
        <w:t>Invoquant une violation de son droit d'être entendu garanti par l' art. 29 al. 2 Cst. , le recourant fait grief à la juridiction cantonale de lui avoir donné connaissance de la réponse de l'intimée à son recours seulement au moment où elle lui a notifié le jugement attaqué du 11 novembre 2010, de sorte qu'il a été privé de son droit de répliquer.</w:t>
      </w:r>
    </w:p>
    <w:p>
      <w:r>
        <w:rPr>
          <w:b/>
        </w:rPr>
        <w:t>E. 2.1</w:t>
      </w:r>
    </w:p>
    <w:p>
      <w:r>
        <w:t>Compris comme l'un des aspects de la notion générale de procès équitable au sens de l' art. 29 al. 1 Cst. , le droit d'être entendu garantit notamment le droit pour une partie à un procès de prendre connaissance de toute argumentation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ss; voir aussi arrêt CourEDH du 28 octobre 2010, aff. Schaller-Bossert c. Suisse, requête no 41718/05).</w:t>
      </w:r>
    </w:p>
    <w:p>
      <w:r>
        <w:rPr>
          <w:b/>
        </w:rPr>
        <w:t>E. 2.2</w:t>
      </w:r>
    </w:p>
    <w:p>
      <w:r>
        <w:t>En l'occurrence, selon les dires du recourant, lesquels ne sont contestés ni par l'intimée, ni par le tribunal cantonal, ce dernier lui a transmis une copie du mémoire de réponse de l'intimée en même temps que la décision attaquée.</w:t>
      </w:r>
    </w:p>
    <w:p>
      <w:r>
        <w:t>Cela étant, le recourant n'a pas eu la possibilité matérielle de réagir à la réponse présentée par la partie adverse, même sans y avoir été invité expressément, puisqu'il a eu connaissance de son dépôt et, a fortiori de son contenu, seulement après que le jugement attaqué eut été rendu. Dans cette mesure, la juridiction cantonale n'a pas respecté le droit d'être entendu du recourant, qui n'a pas pu s'exprimer avant que la juridiction cantonale ne rende son jugement. Cette violation, qui ne peut être réparée en instance fédérale compte tenu du pouvoir d'examen restreint du Tribunal fédéral s'agissant d'un litige portant sur la révision/reconsidération d'une décision de l'assurance-accidents (cf. ATF 135 V 412 consid. 1.2.2 p. 414), entraîne l'annulation du jugement entrepris, sans qu'il y ait lieu d'examiner les griefs du recourant sur le fond (cf. ATF 132 V 387 consid. 5.1 p. 390). La cause doit être renvoyée à la Cour des assurances sociales du tribunal cantonal pour qu'elle statue à nouveau sur le fond du litige, après avoir donné la possibilité au recourant de se déterminer sur la prise de position de l'intimée. Elle statuera également, en tant que de besoin, sur la demande d'assistance judiciaire.</w:t>
      </w:r>
    </w:p>
    <w:p>
      <w:r>
        <w:rPr>
          <w:b/>
        </w:rPr>
        <w:t>E. 3</w:t>
      </w:r>
    </w:p>
    <w:p>
      <w:r>
        <w:t>Les frais sont en principe mis à la charge de la partie qui succombe ( art. 66 al. 1 LTF ). Les frais causés inutilement sont supportés par celui qui les a engendrés ( art. 66 al. 3 LTF ). Le Tribunal fédéral peut ainsi exceptionnellement décider de mettre les frais non pas à la charge de la partie qui succombe mais à celle de l'autorité précédente, respectivement à la collectivité dont elle dépend lorsqu'elle a violé de manière qualifiée les droits d'une partie et l'a de ce fait contrainte à initier une procédure superflue ( art. 66 al. 3 LTF ; ATF 133 V 402 consid. 5 p. 407 s. et les arrêts cités; HANSJÖRG SEILER, in Bundesgerichtsgesetz [BGG], 2007, n° 43 ad art. 66; THOMAS GEISER, in Basler Kommentar, Bundesgerichtsgesetz, 2008, n° 25 ad art. 66). En n'informant pas le recourant de la réponse de l'intimée à son recours avant de rendre son jugement, le tribunal cantonal a violé de manière qualifiée son droit d'être entendu, ce qui justifie de mettre les frais de justice et les dépens à la charge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