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8C_1046/2009 vom 25. Februar 2010</w:t>
      </w:r>
    </w:p>
    <w:p>
      <w:r>
        <w:t>Bundesgericht, 2010-02-25, FR</w:t>
      </w:r>
    </w:p>
    <w:p>
      <w:r>
        <w:rPr>
          <w:b/>
        </w:rPr>
        <w:t xml:space="preserve">Quelle: </w:t>
      </w:r>
      <w:r>
        <w:t>https://mcp.opencaselaw.ch/entscheid/bger_8C_1046_2009</w:t>
      </w:r>
    </w:p>
    <w:p>
      <w:r>
        <w:t>FR: TF 8C_1046/2009 du 25 février 2010</w:t>
      </w:r>
    </w:p>
    <w:p>
      <w:r>
        <w:t>IT: TF 8C_1046/2009 del 25 febbraio 2010</w:t>
      </w:r>
    </w:p>
    <w:p>
      <w:pPr>
        <w:pStyle w:val="Heading2"/>
      </w:pPr>
      <w:r>
        <w:t>Erwägungen</w:t>
      </w:r>
    </w:p>
    <w:p>
      <w:r>
        <w:rPr>
          <w:b/>
        </w:rPr>
        <w:t>E. 1</w:t>
      </w:r>
    </w:p>
    <w:p>
      <w:r>
        <w:t>La recourante conclut uniquement à l'annulation du jugement attaqué. Ce faisant, elle prend une conclusion purement cassatoire.</w:t>
      </w:r>
    </w:p>
    <w:p>
      <w:r>
        <w:t>L' art. 107 al. 2 LTF permet au Tribunal fédéral de réformer le jugement attaqué, c'est-à-dire de statuer lui-même à nouveau sur le fond ou de renvoyer l'affaire à l'autorité précédente pour qu'elle rende une nouvelle décision. Cette disposition est comparable à l'ancien art. 114 al. 2 OJ , en vertu duquel le Tribunal fédéral, saisi d'un recours de droit administratif, pouvait statuer lui-même sur le fond ou renvoyer la cause à l'autorité inférieure pour nouvelle décision lorsqu'il annulait la décision attaquée. Il appartenait au Tribunal fédéral de décider s'il voulait statuer sur le fond ou renvoyer la cause. En vertu de l' art. 114 al. 2 OJ , les deux voies envisageables étaient inclues dans la conclusion tendant à l'annulation du jugement attaqué. Dès lors, si le recourant ne prenait pas d'autre conclusion, il fallait comprendre qu'il s'en remettait à l'appréciation du tribunal quant aux conséquences matérielles concrètes de l'annulation du jugement attaqué. C'est pourquoi, dans le recours de droit administratif et sous réserve des cas prévus à l'ancien art. 108 al. 3 OJ , le Tribunal fédéral renonçait en principe à exiger en plus une conclusion au fond ( ATF 133 II 370 consid. 2.2 p. 373 et les références).</w:t>
      </w:r>
    </w:p>
    <w:p>
      <w:r>
        <w:t>Selon la jurisprudence, il n'y a pas de motif, dans le recours en matière de droit public, de s'écarter de cette ancienne pratique applicable en cas de recours de droit administratif lorsqu'une conclusion au fond ressort clairement de la motivation ( ATF 133 II 409 consid. 1.4.1 p. 415).</w:t>
      </w:r>
    </w:p>
    <w:p>
      <w:r>
        <w:t>En l'espèce, on comprend incontestablement à la lecture du mémoire de recours que la recourante demande la remise de l'obligation de restituer les prestations indûment perçues. Le recours est donc admissible au regard de sa conclusion.</w:t>
      </w:r>
    </w:p>
    <w:p>
      <w:r>
        <w:rPr>
          <w:b/>
        </w:rPr>
        <w:t>E. 2.1</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in FF 2001, p. 4133). A cet égard, le Tribunal fédéral n'examinera le moyen fondé sur la violation d'un droit constitutionnel que si le grief a été invoqué et motivé de manière précise ( art. 106 al. 2 LTF ).</w:t>
      </w:r>
    </w:p>
    <w:p>
      <w:r>
        <w:rPr>
          <w:b/>
        </w:rPr>
        <w:t>E. 2.2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3.1</w:t>
      </w:r>
    </w:p>
    <w:p>
      <w:r>
        <w:t>La question de la réduction des primes de l'assurance-maladie obligatoire par les pouvoirs publics relève du droit cantonal. En particulier, la remise de l'obligation de restituer des subsides indûment perçus est réglée à l'art. 29 al. 2 de la loi neuchâteloise d'introduction de la loi fédérale sur l'assurance-maladie du 4 octobre 1995 (LILAMal; RSNE 821.10). Selon cette disposition, le SAM peut renoncer à exiger la restitution, en tout ou en partie, lorsque l'intéressé était de bonne foi et que la restitution le mettrait dans une situation difficile.</w:t>
      </w:r>
    </w:p>
    <w:p>
      <w:r>
        <w:rPr>
          <w:b/>
        </w:rPr>
        <w:t>E. 3.2</w:t>
      </w:r>
    </w:p>
    <w:p>
      <w:r>
        <w:t>La recourante se plaint d'une appréciation arbitraire des faits. En particulier, elle reproche à la juridiction cantonale de n'avoir pas tenu compte du fait qu'elle n'avait pas induit en erreur le SAM et que la simple vérification de sa situation par rapport à l'assurance-invalidité aurait permis à celui-ci de connaître exactement la situation. Par ailleurs, en déposant ses déclarations d'impôt dans les délais, elle a permis à l'administration de se prononcer sur son droit aux subsides, circonstance que les premiers juges n'ont pas prise en considération.</w:t>
      </w:r>
    </w:p>
    <w:p>
      <w:r>
        <w:t>Ce grief d'appréciation arbitraire des faits est mal fondé. En effet, il n'est pas décisif, pour examiner la condition de la bonne foi, que les époux n'aient pas voulu induire le SAM en erreur ou encore que l'administration aurait pu vérifier leur situation par leur déclaration fiscale. Cela étant, il n'y a pas lieu de s'écarter des faits établis par la juridiction cantonale.</w:t>
      </w:r>
    </w:p>
    <w:p>
      <w:r>
        <w:rPr>
          <w:b/>
        </w:rPr>
        <w:t>E. 3.3</w:t>
      </w:r>
    </w:p>
    <w:p>
      <w:r>
        <w:t>En l'occurrence, les premiers juges ont constaté que la décision du 23 avril 2001 - par laquelle la Caisse cantonale neuchâteloise de compensation (ci-après: la caisse de compensation) indiquait que les primes d'assurance-maladie obligatoire seraient prises en charge intégralement par le SAM malgré l'excédent de revenu - mentionnait des montants annuels inférieurs de 20'000 fr. environ aux revenus effectivement réalisés. Aussi, la juridiction précédente n'est-elle pas tombée dans l'arbitraire en considérant que les intéressés avaient commis une négligence grave en n'annonçant pas immédiatement cette erreur manifeste à la caisse de compensation ou au SAM.</w:t>
      </w:r>
    </w:p>
    <w:p>
      <w:r>
        <w:t>Ainsi, la condition de la bonne foi n'étant pas réalisée, le jugement attaqué qui confirme le rejet de la demande de remise n'est pas critiquable et le recours doit être rejeté selon la procédure simplifiée de l' art. 109 al. 2 let. a LTF .</w:t>
      </w:r>
    </w:p>
    <w:p>
      <w:r>
        <w:rPr>
          <w:b/>
        </w:rPr>
        <w:t>E. 4</w:t>
      </w:r>
    </w:p>
    <w:p>
      <w:r>
        <w:t>En application de l'art. 66 al. 1, 2ème phrase, LTF, le Tribunal fédéral renonce à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