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8C_1041/2012 vom 11. Juli 2013</w:t>
      </w:r>
    </w:p>
    <w:p>
      <w:r>
        <w:t>Bundesgericht, 2013-07-11, FR</w:t>
      </w:r>
    </w:p>
    <w:p>
      <w:r>
        <w:rPr>
          <w:b/>
        </w:rPr>
        <w:t xml:space="preserve">Quelle: </w:t>
      </w:r>
      <w:r>
        <w:t>https://mcp.opencaselaw.ch/entscheid/bger_8C_1041_2012</w:t>
      </w:r>
    </w:p>
    <w:p>
      <w:r>
        <w:t>FR: TF 8C_1041/2012 du 11 juillet 2013</w:t>
      </w:r>
    </w:p>
    <w:p>
      <w:r>
        <w:t>IT: TF 8C_1041/2012 del 11 luglio 2013</w:t>
      </w:r>
    </w:p>
    <w:p>
      <w:pPr>
        <w:pStyle w:val="Heading2"/>
      </w:pPr>
      <w:r>
        <w:t>Erwägungen</w:t>
      </w:r>
    </w:p>
    <w:p>
      <w:r>
        <w:rPr>
          <w:b/>
        </w:rPr>
        <w:t>E. 1.1</w:t>
      </w:r>
    </w:p>
    <w:p>
      <w:r>
        <w:t>Selon l' art. 12 Cst.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Dans le canton de Genève, ce principe a trouvé une concrétisation dans la loi cantonale sur l'insertion et l'aide sociale individuelle, du 22 mars 2007 (LIASI; RSG J 4 04), entrée en vigueur le 19 juin 2007. La loi a pour but de prévenir l'exclusion sociale et d'aider les personnes qui en souffrent à se réinsérer dans un environnement social et professionnel (art. 1</w:t>
      </w:r>
    </w:p>
    <w:p>
      <w:r>
        <w:t>er al. 1). Les prestations de l'aide sociale individuelle comprennent l'accompagnement social, des prestations financières et une insertion professionnelle (art. 2). L'aide financière est accordée à la personne majeure qui n'est pas en mesure de subvenir à son entretien ou à celui des membres de la famille dont elle a la charge (art. 8 al. 1).</w:t>
      </w:r>
    </w:p>
    <w:p>
      <w:r>
        <w:rPr>
          <w:b/>
        </w:rPr>
        <w:t>E. 1.2</w:t>
      </w:r>
    </w:p>
    <w:p>
      <w:r>
        <w:t>Le service des prestations complémentaires gère et verse, pour le compte de l'Hospice général, les prestations d'aide sociale pour les personnes en âge AVS (art. 3 al. 2 LIASI).</w:t>
      </w:r>
    </w:p>
    <w:p>
      <w:r>
        <w:rPr>
          <w:b/>
        </w:rPr>
        <w:t>E. 2.1</w:t>
      </w:r>
    </w:p>
    <w:p>
      <w:r>
        <w:t>Les premiers juges ont considéré que le total des revenus cumulés du fils, de la fille et du gendre de la recourante étaient suffisants pour subvenir à ses besoins. Les revenus de sa fille et de son gendre étaient plus élevés qu'ils ne l'étaient à l'époque (année 1999) où ces personnes avaient souscrit leur engagement. Aussi bien les trois garants pris conjointement n'étaient pas dans une situation telle qu'ils se trouveraient dans l'impossibilité de remplir leurs obligations à l'égard de leur parente. En l'absence de modification imprévisible des circonstances, les révocations par les proches des engagements signés à l'époque ne permettent pas l'octroi de prestations d'assistance en faveur de la recourante: en vertu du principe de la subsidiarité de l'aide sociale, le service intimé n'a pas à fournir des prestations en l'absence d'une preuve de l'incapacité effective de l'intéressée à obtenir l'aide promise.</w:t>
      </w:r>
    </w:p>
    <w:p>
      <w:r>
        <w:rPr>
          <w:b/>
        </w:rPr>
        <w:t>E. 2.2</w:t>
      </w:r>
    </w:p>
    <w:p>
      <w:r>
        <w:t>La recourante fait valoir que ni l'engagement signé par ses proches, ni la dette alimentaire au sens de l' art. 328 CC ne lui permettraient de se procurer les moyens nécessaires à son existence de façon actuelle, effective et légale.</w:t>
      </w:r>
    </w:p>
    <w:p>
      <w:r>
        <w:rPr>
          <w:b/>
        </w:rPr>
        <w:t>E. 3.1</w:t>
      </w:r>
    </w:p>
    <w:p>
      <w:r>
        <w:t>Selon l'art. 9 al. 1 LIASI, les prestations d'aide financière versées en vertu de la loi sont subsidiaires à toute autre source de revenu, aux prestations découlant du droit de la famille ou de la loi fédérale sur le partenariat enregistré entre personnes du même sexe, ainsi qu'à toute autre prestation à laquelle le bénéficiaire et les membres du groupe familial ont droit, en particulier aux prestations d'assurances sociales fédérales et cantonales et aux prestations communales, à l'exception des prestations occasionnelles. Cette réglementation correspond aux principes dégagés par la Conférence suisse des institutions d'action sociale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w:t>
      </w:r>
    </w:p>
    <w:p>
      <w:r>
        <w:t>ème éd., Berne 2005, A.4-1). Toutefois, seules les prestationseffectivement fournies par des tiers sont prises en compte et il n'est donc en principe pas admissible de tenir compte d'un revenu hypothétique dans le calcul des conditions minimales d'existence ( KATHRIN AMSTUTZ, Das Grundrecht auf Existenzsicherung, 2002, p. 169).</w:t>
      </w:r>
    </w:p>
    <w:p>
      <w:r>
        <w:rPr>
          <w:b/>
        </w:rPr>
        <w:t>E. 3.2</w:t>
      </w:r>
    </w:p>
    <w:p>
      <w:r>
        <w:t>S'il ne reçoit pas des prestations qu'est tenu de lui fournir un tiers ou s'il ne les reçoit pas en temps utile, l'aide sociale doit au moins accorder une aide à titre transitoire (cf. ATF 121 I 367 consid. 3b p. 375; FELIX WOLFFERS, Grundriss des Sozialhilferechts, 2</w:t>
      </w:r>
    </w:p>
    <w:p>
      <w:r>
        <w:t>ème éd., p. 71; arrêt 2P.415/96 du 20 octobre 1997 consid. 3b).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 WERNER THOMET, Commentaire concernant la Loi fédérale sur la compétence en matière d'assistance des personnes dans le besoin [LAS], 2</w:t>
      </w:r>
    </w:p>
    <w:p>
      <w:r>
        <w:t>ème éd., 1994, n° 69, p. 52; WOLFFERS, op. cit., p. 71).</w:t>
      </w:r>
    </w:p>
    <w:p>
      <w:r>
        <w:rPr>
          <w:b/>
        </w:rPr>
        <w:t>E. 3.3</w:t>
      </w:r>
    </w:p>
    <w:p>
      <w:r>
        <w:t>Comme l'ont relevé les premiers juges, l'engagement d'entretien signé en 1999 était une condition pour que la recourante obtienne l'autorisation de séjourner en Suisse et éviter ainsi le risque pour la collectivité qu'elle dépende de l'aide sociale (cf. ATF 109 V 134 consid. 2 p. 136). Le non-respect de cet engagement peut éventuellement avoir des conséquences sous l'angle du droit des étrangers (voir arrêt 8C_56/2012 du 11 décembre 2012, in SVR 2013 EL n° 3 p. 11). C'est ainsi que d'après l' art. 63 al. 1 let . c de la loi fédérale du 16 décembre 2005 sur les étrangers (LEtr; RS 142.20), l'autorisation d'établissement peut être révoquée lorsqu'un étranger dépend durablement et dans une large mesure de l'aide sociale (voir à ce sujet l'arrêt 2C_268/2011 du 22 juillet 2011 consid. 6.2.4). Le motif de révocation découlant de la dépendance à l'aide sociale ne s'applique toutefois pas à l'étranger qui séjourne en Suisse légalement et sans interruption depuis plus de quinze ans (art. 63 al. 2 LEtr). Ce motif de révocation correspond en substance au motif d'expulsion de l' art. 10 al. 1 let . d de la loi (abrogée) sur le séjour et l'établissement des étrangers (LSEE). Il n'y a cependant pas lieu d'examiner ici ce qu'il en serait sous l'angle de cette réglementation. Ce n'est pas l'objet du présent litige.</w:t>
      </w:r>
    </w:p>
    <w:p>
      <w:r>
        <w:rPr>
          <w:b/>
        </w:rPr>
        <w:t>E. 3.4</w:t>
      </w:r>
    </w:p>
    <w:p>
      <w:r>
        <w:t>Indépendamment donc de ces conséquences éventuelles sous l'angle du droit des étrangers, la question est de savoir si la recourante peut prétendre des prestations d'aide sociale tant et aussi longtemps qu'elle séjourne (légalement) en Suisse. Dans ce contexte, on peut se demander si la recourante peut elle-même déduire un droit à l'entretien des personnes qui se sont portées garantes envers l'Etat. La réponse à cette question ne s'impose pas d'emblée comme une évidence (cf. ATF 109 V 134 consid. 2 p. 137; arrêt 8C_56/2012, consid. 3.4).</w:t>
      </w:r>
    </w:p>
    <w:p>
      <w:r>
        <w:rPr>
          <w:b/>
        </w:rPr>
        <w:t>E. 3.5</w:t>
      </w:r>
    </w:p>
    <w:p>
      <w:r>
        <w:t>Cette question peut demeurer indécise. Les premiers juges se sont fondés sur le revenu cumulé de l'ensemble des personnes qui se sont portées garantes de l'entretien de la recourante et ont conclu qu'elles seraient à même de fournir à celle-ci des prestations d'entretien dont elle a besoin. Ils n'ont pas cherché à savoir si et, cas échéant dans quelle mesure, ces personnes contribuaient effectivement à l'entretien de la recourante. Ils se sont, bien plutôt, fondés sur un revenu hypothétique que l'intéressée pourrait obtenir de sa parenté. Il n'est toutefois pas établi que les garants subviennent aux besoins de la recourante, de sorte que son entretien n'est pas garanti. Par ailleurs, on ignore quels sont les besoins effectifs de la recourante. Sur ce point, le jugement attaqué est lacunaire.</w:t>
      </w:r>
    </w:p>
    <w:p>
      <w:r>
        <w:rPr>
          <w:b/>
        </w:rPr>
        <w:t>E. 3.6</w:t>
      </w:r>
    </w:p>
    <w:p>
      <w:r>
        <w:t>Dans ces conditions, il convient d'annuler l'arrêt entrepris et la décision administrative précédente et de renvoyer la cause au SPC pour complément d'instruction et nouvelle décision. Il lui appartiendra d'examiner si la recourante reçoit effectivement une aide suffisante pour couvrir ses besoins vitaux. Si tel n'est pas le cas, il lui accordera des prestations d'aide sociale. S'il estime que la recourante est en droit d'obtenir des prestations de ses enfants et de son gendre, il procédera conformément à ce qui vient d'être exposé ci-dessus (consid. 3.2).</w:t>
      </w:r>
    </w:p>
    <w:p>
      <w:r>
        <w:rPr>
          <w:b/>
        </w:rPr>
        <w:t>E. 4</w:t>
      </w:r>
    </w:p>
    <w:p>
      <w:r>
        <w:t>Les frais judiciaires seront supportés par le service intimé qui succombe ( art. 66 al. 1 LTF ). La recourante a droit à une indemnité de dépens pour l'instance fédérale ( art. 68 al. 1 LTF ),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