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8C_102/2020 vom 1. Mai 2020</w:t>
      </w:r>
    </w:p>
    <w:p>
      <w:r>
        <w:t>Bundesgericht, 2020-05-01, DE</w:t>
      </w:r>
    </w:p>
    <w:p>
      <w:r>
        <w:rPr>
          <w:b/>
        </w:rPr>
        <w:t xml:space="preserve">Quelle: </w:t>
      </w:r>
      <w:r>
        <w:t>https://mcp.opencaselaw.ch/entscheid/bger_8C_102_2020</w:t>
      </w:r>
    </w:p>
    <w:p>
      <w:r>
        <w:t>FR: TF 8C_102/2020 du 1 mai 2020</w:t>
      </w:r>
    </w:p>
    <w:p>
      <w:r>
        <w:t>IT: TF 8C_102/2020 del 1 maggio 2020</w:t>
      </w:r>
    </w:p>
    <w:p>
      <w:pPr>
        <w:pStyle w:val="Heading2"/>
      </w:pPr>
      <w:r>
        <w:t>Erwägungen</w:t>
      </w:r>
    </w:p>
    <w:p>
      <w:r>
        <w:rPr>
          <w:b/>
        </w:rPr>
        <w:t>E. 1.1</w:t>
      </w:r>
    </w:p>
    <w:p>
      <w:r>
        <w:t>Das Bundesgericht prüft die Eintretensvoraussetzungen von Amtes wegen und mit freier Kognition ( Art. 29 Abs. 1 BGG ; BGE 145 II 153 E. 1.1 S. 154 mit Hinweis).</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Mit der Bejahung des guten Glaubens enthält der angefochtene Entscheid materiell verbindliche Feststellungen, welche die Familienausgleichskasse bei Vorliegen des weiteren Erfordernisses (grosse Härte, vgl. Art. 25 Abs. 1 ATSG ) verpflichten, dem Beschwerdegegner die Rückerstattungsforderung zu erlassen. Da der darauf beruhende Endentscheid praktisch nicht angefochten und das Ergebnis nicht mehr korrigiert werden könnte, liegt ein nicht wieder gutzumachender Nachteil nach Art. 93 Abs. 1 lit. a BGG vor (vgl. Urteil 8C_535/2018 vom 29. Oktober 2018 E. 1.2 mit weiteren Hinweisen)</w:t>
      </w:r>
    </w:p>
    <w:p>
      <w:r>
        <w:rPr>
          <w:b/>
        </w:rPr>
        <w:t>E. 1.3</w:t>
      </w:r>
    </w:p>
    <w:p>
      <w:r>
        <w:t>Die übrigen Formerfordernisse sind ebenfalls erfüllt, weshalb auf die Beschwerde einzutreten ist.</w:t>
      </w:r>
    </w:p>
    <w:p>
      <w:r>
        <w:t>Etwas anderes ergibt sich auch nicht aufgrund des Umstands, dass die Beschwerdeführerin im Rechtsbegehren das Datum des angefochtenen Gerichtsentscheids - versehentlich - unrichtig angibt. Denn aufgrund der übrigen Angaben, namentlich des in der Beschwerde mehrfach korrekt genannten Datums, besteht nicht der geringste Zweifel darüber, um welches Anfechtungsobjekt ( Art. 88 Abs. 1 lit. a BGG ) es hier geht.</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145 V 57 E. 4.2 S. 61 mit Hinweis).</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Es steht fest und ist unbestritten, dass der Beschwerdegegner vom 1. November 2015 bis 31. Dezember 2017 keinen Anspruch auf Familienzulagen hatte und er die in diesem Zeitraum ausgerichteten Zulagen in der Höhe von Fr. 5200.- unrechtmässig bezog. Zu prüfen ist einzig, ob die Vorinstanz Bundesrecht verletzt hat, indem sie die Erlassvoraussetzung des guten Glaubens bejahte.</w:t>
      </w:r>
    </w:p>
    <w:p>
      <w:r>
        <w:rPr>
          <w:b/>
        </w:rPr>
        <w:t>E. 4.1</w:t>
      </w:r>
    </w:p>
    <w:p>
      <w:r>
        <w:t>Gemäss Art. 25 Abs. 1 Satz 1 ATSG , der auf die Rückerstattung von Familienzulagen Anwendung findet (vgl. Art. 1 des Bundesgesetzes vom 24. März 2006 über die Familienzulagen [Familienzulagengesetz, FamZG; SR 836.2]), sind unrechtmässig bezogene Leistungen zurückzuerstatten. Wer Leistungen in gutem Glauben bezogen hat, muss sie nicht zurückerstatten, wenn eine grosse Härte vorliegt ( Art. 25 Abs. 1 Satz 2 ATSG ).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138 V 218 E. 4 S. 220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f. mit Hinweisen; Urteil 8C_448/2017 vom 3. Januar 2018 E. 2.1). Das Verhalten, das den guten Glauben ausschliesst, braucht nicht in einer Melde- oder Anzeigepflichtverletzung zu bestehen. Auch ein anderes Verhalten, z.B. die Unterlassung, sich bei der Verwaltung zu erkundigen, fällt in Betracht (Urteile 8C_178/2018 vom 6. August 2018 E. 3.1; 9C_184/2015 vom 8. Mai 2015 E. 2; C 257/97 vom 23. Dezember 1997 E. 4b, in: ARV 1998 Nr. 41 S. 234).</w:t>
      </w:r>
    </w:p>
    <w:p>
      <w:r>
        <w:rPr>
          <w:b/>
        </w:rPr>
        <w:t>E. 4.2</w:t>
      </w:r>
    </w:p>
    <w:p>
      <w:r>
        <w:t>Nach der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mit Hinweisen; Urteile 8C_535/2018 vom 29. Oktober 2018 E. 5.2; 9C_181/2017 vom 6. Juni 2017 E. 3.2; 9C_413/2016 vom 26. September 2016 E. 3.1, in: SVR 2017 AHV Nr. 3 S. 5).</w:t>
      </w:r>
    </w:p>
    <w:p>
      <w:r>
        <w:rPr>
          <w:b/>
        </w:rPr>
        <w:t>E. 5.1</w:t>
      </w:r>
    </w:p>
    <w:p>
      <w:r>
        <w:t>Wie die Vorinstanz zutreffend feststellte und beschwerdeweise nicht bestritten wird, besteht kein Grund zur Annahme, dass der Beschwerdeführer um die Unrechtmässigkeit des Leistungsbezugs gewusst oder die Auszahlung der nun zurückgeforderten Familienzulagen in böswilliger Absicht erwirkt hätte. So stellte das kantonale Gericht fest, dass dieser die ihm zugestellten Verlängerungsanträge zum Bezug von Familienzulagen jeweils korrekt ausgefüllt bzw. die entsprechenden Fragen wahrheitsgemäss beantwortet hatte.</w:t>
      </w:r>
    </w:p>
    <w:p>
      <w:r>
        <w:rPr>
          <w:b/>
        </w:rPr>
        <w:t>E. 5.2</w:t>
      </w:r>
    </w:p>
    <w:p>
      <w:r>
        <w:t>Vorinstanz und Familienausgleichskasse sind sich ferner darüber einig, dass der Beschwerdegegner zufolge Erreichens des ordentlichen Rentenalters und Bezugs einer Altersrente verpflichtet war, der Kasse die Veränderung seiner persönlichen Verhältnisse zu melden ( Art. 31 Abs. 1 ATSG i.V.m. Art. 1 FamZG ). Allerdings verneinte das kantonale Gericht nach Würdigung der konkreten Umstände eine grobfahrlässige Verletzung der Sorgfaltspflicht. Denn dem Beschwerdegegner könne höchstens leichte Fahrlässigkeit angelastet werden.</w:t>
      </w:r>
    </w:p>
    <w:p>
      <w:r>
        <w:rPr>
          <w:b/>
        </w:rPr>
        <w:t>E. 5.3</w:t>
      </w:r>
    </w:p>
    <w:p>
      <w:r>
        <w:t>Die vorinstanzliche Auffassung hält vor Bundesrecht stand:</w:t>
      </w:r>
    </w:p>
    <w:p>
      <w:r>
        <w:rPr>
          <w:b/>
        </w:rPr>
        <w:t>E. 5.3.1</w:t>
      </w:r>
    </w:p>
    <w:p>
      <w:r>
        <w:t>Wenn die Beschwerdeführerin einwendet, dass der Versicherte die veränderten Verhältnisse hätte melden müssen, selbst wenn der meldepflichtige Tatbestand in der Verfügung nicht als solcher aufgelistet sei, verfängt dies nicht. Wie zuvor ausgeführt (vgl. E. 5.2), steht nicht zur Diskussion, dass der Beschwerdegegner aufgrund der veränderten Verhältnisse meldepflichtig war bzw. gewesen wäre. Die Vorinstanz begründete ihren Entscheid auch nicht dahingehend, dass die Meldepflicht des Beschwerdegegners mangels klarer Bezeichnung in den Verfügungen der Familienausgleichskasse oder expliziter Nachfrage im Verlängerungsantrag weggefallen wäre. Sie legte vielmehr dar, weshalb das Verhalten des Beschwerdegegners - mithin seine unterlassene Mitteilung der veränderten Verhältnisse - unter Berücksichtigung der konkreten Umstände höchstens als leichte Fahrlässigkeit zu werten sei. Mit diesen vorinstanzlichen Erwägungen setzt sich die Beschwerdeführerin allerdings nicht auseinander. Sie bringt nichts vor und es ist nicht auf Anhieb ersichtlich, was sie als bundesrechtswidrig erscheinen liesse.</w:t>
      </w:r>
    </w:p>
    <w:p>
      <w:r>
        <w:rPr>
          <w:b/>
        </w:rPr>
        <w:t>E. 5.3.2</w:t>
      </w:r>
    </w:p>
    <w:p>
      <w:r>
        <w:t>Unbehelflich sind auch die übrigen Vorbringen der Beschwerdeführerin. Insbesondere war die Meldepflicht für den Versicherten selbst bei Aufwendung der gehörigen Sorgfalt nicht ohne Weiteres erkennbar. Das kantonale Gericht erwog auch in dieser Hinsicht bundesrechtskonform, der Versicherte hätte die Unrechtmässigkeit des Leistungsbezugs selbst bei gebotener Sorgfalt nicht erkennen können, zumal der Bedarf an teilweisem Ausgleich der finanziellen Belastung durch das Kind nach wie vor gegeben sei und eine Kumulation von Familienzulagen und Kinderrente der AHV nicht grundsätzlich ausser Betracht falle. Eine offensichtliche, leichte Erkennbarkeit der Unrechtmässigkeit des Leistungsbezugs ergebe sich auch nicht aus der in den jeweiligen Verfügungen vermerkten Bezeichnung "Familien- bzw. Kinderzulagen für Nichterwerbstätige", da der Beschwerdegegner vor Erreichen des Rentenalters seit mehreren Jahren keiner Erwerbstätigkeit mehr nachgegangen sei und als Nichterwerbstätiger gegolten habe, was sich mit dem Eintritt in das Rentenalter nicht verändert habe. Inwiefern das kantonale Gericht unter Würdigung dieser gesamten Umstände, einschliesslich der Qualifizierung des Verhaltens des Beschwerdegegners als höchstens leicht fahrlässig Bundesrecht verletzt haben soll, legt die Beschwerdeführerin nicht dar. Die vorinstanzlichen Erwägungen geben denn auch zu keiner Beanstandung Anlass.</w:t>
      </w:r>
    </w:p>
    <w:p>
      <w:r>
        <w:rPr>
          <w:b/>
        </w:rPr>
        <w:t>E. 5.3.3</w:t>
      </w:r>
    </w:p>
    <w:p>
      <w:r>
        <w:t>Offen liess die Vorinstanz hingegen, ob die Nichtmeldung an die Familienausgleichskasse dem Beschwerdegegner überhaupt als grobfahrlässig zum Vorwurf gereichen könnte. Nachdem die Meldung einer allfälligen Änderung der persönlichen Verhältnisse gemäss Hinweis auf der Rückseite der Verfügungen wie auch in den Verlängerungsformularen an die "SVA Zürich" (Kompetenzzentrum für Sozialversicherung des Kantons Zürich bzw. "SVA" zu erstatten sei, habe der Versicherte dies mit dem Antrag um Ausrichtung einer Altersrente bei der Ausgleichskasse der SVA immerhin faktisch gemacht. Wie es sich damit verhält, braucht indessen nicht geklärt zu werden. Denn nach dem Gesagten (vgl. hiervor E. 4.3.1) ist der gute Glaube bei einer Meldepflichtverletzung die im vorliegenden Fall höchstens als leicht fahrlässig zu qualifizieren ist, zu bejahen (vgl. E. 4.1). Die Beschwerde ist unbegründet und demzufolge abzuweisen.</w:t>
      </w:r>
    </w:p>
    <w:p>
      <w:r>
        <w:rPr>
          <w:b/>
        </w:rPr>
        <w:t>E. 6</w:t>
      </w:r>
    </w:p>
    <w:p>
      <w:r>
        <w:t>Dem Ausgang des Verfahrens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