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8C_1022/2012 vom 18. Juli 2013</w:t>
      </w:r>
    </w:p>
    <w:p>
      <w:r>
        <w:t>Bundesgericht, 2013-07-18, DE</w:t>
      </w:r>
    </w:p>
    <w:p>
      <w:r>
        <w:rPr>
          <w:b/>
        </w:rPr>
        <w:t xml:space="preserve">Quelle: </w:t>
      </w:r>
      <w:r>
        <w:t>https://mcp.opencaselaw.ch/entscheid/bger_8C_1022_2012</w:t>
      </w:r>
    </w:p>
    <w:p>
      <w:r>
        <w:t>FR: TF 8C_1022/2012 du 18 juillet 2013</w:t>
      </w:r>
    </w:p>
    <w:p>
      <w:r>
        <w:t>IT: TF 8C_1022/2012 del 18 luglio 2013</w:t>
      </w:r>
    </w:p>
    <w:p>
      <w:pPr>
        <w:pStyle w:val="Heading2"/>
      </w:pPr>
      <w:r>
        <w:t>Erwägungen</w:t>
      </w:r>
    </w:p>
    <w:p>
      <w:r>
        <w:rPr>
          <w:b/>
        </w:rPr>
        <w:t>E. 1.1</w:t>
      </w:r>
    </w:p>
    <w:p>
      <w:r>
        <w:t>Gegenstand des angefochtenen Entscheids sind im Rahmen des Hauptverfahrens geforderte und nicht gewährte vorsorgliche Massnahmen. Es handelt sich dabei um einen Zwischenentscheid nach Art. 93 BGG ( BGE 134 I 83 E. 3.1 S. 86 f. mit Hinweisen), welcher (abgesehen von den hier nicht zur Diskussion stehenden Fällen nach Art. 92 oder 93 Abs. 1 lit. b BGG ) beim Bundesgericht nur anfechtbar ist, wenn er einen nicht wieder gutzumachenden Nachteil im Sinne von Art. 93 Abs. 1 lit. a BGG bewirken kann. Der Nachteil ist nicht irreparabel, wenn er mit einem günstigen Endurteil in der Sache behoben werden kann; eine rein tatsächliche oder wirtschaftliche Erschwernis genügt in der Regel nicht (Urteile [des Bundesgerichts] 2C_105/2012 vom 29. Februar 2012 E. 2.2.1 und 9C_45/2010 vom 12. April 2010 E. 1.1 mit Hinweisen, in: SVR 2011 IV Nr. 12 S. 32).</w:t>
      </w:r>
    </w:p>
    <w:p>
      <w:r>
        <w:t>Vorsorgliche Massnahmen begründen einen nicht wieder gutzumachenden Nachteil, wenn dadurch ein bestimmtes Handeln verboten wird, welches faktisch nicht nachträglich rückgängig gemacht werden kann. Als Beispiele können etwa ein provisorischer Führerausweisentzug (Urteil [des Bundesgerichts] 1C_420/2007 vom 18. März 2008 E. 1, in: JdT 2008 I 466) oder allgemein Verbote, bestimmte Handlungen vorzunehmen (vgl. Urteile [des Bundesgerichts] 4D_71/2007 vom 7. Februar 2008 E. 1.1 und 5A_202/2007 vom 13. Juni 2007 E. 1.1 [Publikationsverbot]), genannt werden (vgl. auch BGE 134 I 83 E. 3.1 S. 86 f.; Urteil [des Bundesgerichts] 2C_105/2012 vom 29. Februar 2012 E. 2.2.2 mit Hinweisen). Grundsätzlich gilt, dass Zwischenentscheide, mit denen in eine Rechtsstellung, namentlich in Grundrechte, eingegriffen wird, einen nicht wieder gutzumachenden Nachteil bewirken können, wenn dieser Eingriff faktisch irreparabel ist (Urteil [des Bundesgerichts] 2C_105/2012 vom 29. Februar 2012 E. 2.2.2 in fine).</w:t>
      </w:r>
    </w:p>
    <w:p>
      <w:r>
        <w:rPr>
          <w:b/>
        </w:rPr>
        <w:t>E. 1.2</w:t>
      </w:r>
    </w:p>
    <w:p>
      <w:r>
        <w:t>Praxisgemäss hat die beschwerdeführende Person im Einzelnen darzulegen, inwiefern die Beschwerdevoraussetzungen nach Art. 93 Abs. 1 BGG erfüllt sind, ansonsten, sofern deren Vorhandensein nicht auf der Hand liegt, auf die Beschwerde mangels hinreichender Begründung nicht einzutreten ist ( BGE 137 III 324 E. 1.1 S. 327 ff.; 136 IV 92 E. 4 S. 95; je mit Hinweisen).</w:t>
      </w:r>
    </w:p>
    <w:p>
      <w:r>
        <w:rPr>
          <w:b/>
        </w:rPr>
        <w:t>E. 2.1</w:t>
      </w:r>
    </w:p>
    <w:p>
      <w:r>
        <w:t>Die Beschwerdeführer erblicken einen nicht wieder gutzumachenden Nachteil (implizit) darin - allerdings ohne Bezugnahme auf die in Art. 93 BGG statuierten Eintretensvoraussetzungen -, dass durch den nicht länger im Rahmen der Sozialhilfe verbürgten ordentlichen Schulunterricht der Kinder in der Gemeinde G.________ verschiedene Grundrechte (etwa Art. 11 BV sowie Art. 2, 3, 12, 27 und 28 des Übereinkommens vom 20. November 1989 über die Rechte des Kindes [UNO-Kinderrechtskonvention, KRK; SR 0.107]) verletzt würden.</w:t>
      </w:r>
    </w:p>
    <w:p>
      <w:r>
        <w:rPr>
          <w:b/>
        </w:rPr>
        <w:t>E. 2.2</w:t>
      </w:r>
    </w:p>
    <w:p>
      <w:r>
        <w:t>Ausweislich der Akten besuchen die Kinder der Beschwerdeführer in Absprache mit der Schulleitung des Schulhauses O.________ sowie dem Schulratspräsidium auch nach dem 31. August 2012 und bis auf Weiteres den Unterricht in den angestammten Klassen in G.________ (vgl. u.a. Eingaben vom 2./3. September 2012 an das SJD und vom 30. September 2012 an die Vorinstanz). Ein irreversibler Nachteil ist angesichts dieser Sachlage nicht auszumachen. Ebenso wenig wird ein derartiger Mangel, welchen es im vorliegenden Verfahren durch die Anordnung einer vorsorglichen Massnahme zu beheben gälte, ansonsten ein nicht rückgängig zu machender Zustand geschaffen würde, in rechtsgenüglicher Form dargetan. Auf die Beschwerde kann daher nicht eingetreten werden.</w:t>
      </w:r>
    </w:p>
    <w:p>
      <w:r>
        <w:rPr>
          <w:b/>
        </w:rPr>
        <w:t>E. 3</w:t>
      </w:r>
    </w:p>
    <w:p>
      <w:r>
        <w:t>Bei den gegebenen Verhältnissen rechtfertigt es sich, von der Erhebung von Gerichtskosten für das bundesgerichtliche Verfahren umständehalber abzusehen (Art. 65 Abs. 4 lit. a in Verbindung mit Art. 66 Abs. 1 Satz 2 BGG ). Das Begehren um unentgeltliche Prozessführung erweist sich damit als gegenstandslos. Sofern das Gesuch um unentgeltliche Rechtspflege auch im Sinne der unentgeltlichen Verbeiständung gestellt wird, ist es mangels anwaltlicher Vertretung abzuweisen (vgl.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