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8C_1020/2012 vom 16. Januar 2013</w:t>
      </w:r>
    </w:p>
    <w:p>
      <w:r>
        <w:t>Bundesgericht, 2013-01-16, FR</w:t>
      </w:r>
    </w:p>
    <w:p>
      <w:r>
        <w:rPr>
          <w:b/>
        </w:rPr>
        <w:t xml:space="preserve">Quelle: </w:t>
      </w:r>
      <w:r>
        <w:t>https://mcp.opencaselaw.ch/entscheid/bger_8C_1020_2012</w:t>
      </w:r>
    </w:p>
    <w:p>
      <w:r>
        <w:t>FR: TF 8C_1020/2012 du 16 janvier 2013</w:t>
      </w:r>
    </w:p>
    <w:p>
      <w:r>
        <w:t>IT: TF 8C_1020/2012 del 16 gennaio 2013</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cantonale vaudoise sur l'emploi du 5 juillet 2005 (LEmp; RSV 822.11) et son règlement d'application (RLemp; RSV 822.11.1), ainsi que sur la loi cantonale sur l'action sociale vaudoise du 2 décembre 2003 (LASV; RSV 850.051).</w:t>
      </w:r>
    </w:p>
    <w:p>
      <w:r>
        <w:t>En substance, les premiers juges ont rappelé qu'il n'existait aucune exception à l'obligation de rechercher un emploi, respectivement d'accepter une mesure d'insertion professionnelle, pour les bénéficiaires du revenu d'insertion même âgés de 59 ans comme le recourant, et que ce dernier n'était pas libre de poursuivre ses projets à sa guise sans l'accord de l'ORP. La sanction était ainsi justifiée tant dans son principe que dans sa quotité.</w:t>
      </w:r>
    </w:p>
    <w:p>
      <w:r>
        <w:rPr>
          <w:b/>
        </w:rPr>
        <w:t>E. 5</w:t>
      </w:r>
    </w:p>
    <w:p>
      <w:r>
        <w:t>En l'occurrence, dans ses écritures, le recourant se borne à émettre des critiques sur l'organisation des mesures de réinsertion professionnelle ainsi que sur le chef de section de l'ORP, et à exposer comment, à son avis, il faudrait aider les chômeurs de longue durée âgés de plus de 50 ans. T.________ n'invoque en revanche aucune garantie de droit constitutionnel, ni ne tente d'expliquer de quelque autre manière en quoi les premiers juges auraient mal appliqué le droit cantonal. Une telle motivation ne répond manifestement pas aux exigences de l' art. 106 al. 2 LTF . Le recours n'est par conséquent pas recevable.</w:t>
      </w:r>
    </w:p>
    <w:p>
      <w:r>
        <w:rPr>
          <w:b/>
        </w:rPr>
        <w:t>E. 6</w:t>
      </w:r>
    </w:p>
    <w:p>
      <w:r>
        <w:t>Il est renoncé à la perception d'un émolument judiciaire (art. 66 al. 1, 2ème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