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101/2025 vom 25. Februar 2025</w:t>
      </w:r>
    </w:p>
    <w:p>
      <w:r>
        <w:t>Bundesgericht, 2025-02-25, DE</w:t>
      </w:r>
    </w:p>
    <w:p>
      <w:r>
        <w:rPr>
          <w:b/>
        </w:rPr>
        <w:t xml:space="preserve">Quelle: </w:t>
      </w:r>
      <w:r>
        <w:t>https://mcp.opencaselaw.ch/entscheid/bger_8C_101_2025</w:t>
      </w:r>
    </w:p>
    <w:p>
      <w:r>
        <w:t>FR: TF 8C 101/2025 du 25 février 2025</w:t>
      </w:r>
    </w:p>
    <w:p>
      <w:r>
        <w:t>IT: TF 8C 101/2025 del 25 febbraio 2025</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21. November 2024 die von der Beschwerdegegnerin gestützt auf Art. 30 Abs. 1 lit. a AVIG verfügte Einstellung der Beschwerdeführerin in der Anspruchsberechtigung auf Arbeitslosenentschädigung für die Dauer von 36 Tagen (Einspracheentscheid vom 6. Juni 2024). Dabei gelangte es in Würdigung der Akten und in Auseinandersetzung mit den Parteivorbringen zur Überzeugung, die Beschwerdeführerin habe die zumutbare Arbeit ohne hinreichende Gründe abgelehnt (Nichtunterzeichnung des ihr offerierten neuen Arbeitsvertrags) und damit die Arbeitslosigkeit verschuldet.</w:t>
      </w:r>
    </w:p>
    <w:p>
      <w:r>
        <w:rPr>
          <w:b/>
        </w:rPr>
        <w:t>E. 3</w:t>
      </w:r>
    </w:p>
    <w:p>
      <w:r>
        <w:t>Die Vorbringen der Beschwerdeführerin zielen in weiten Teilen an der Sache vorbei. Sie scheint zu verkennen, dass es gemäss vorinstanzlicher Auffassung an ihr gelegen hätte, sich um die Fortführung des Arbeitsverhältnisses zu bemühen, nachdem ihr die damalige Arbeitgeberin eine objektiv gesehen zumutbare neue Anstellung angeboten hatte. Dies hatte sie indessen gemäss vorinstanzlicher Feststellung unterlassen und damit die Arbeitslosigkeit selbst verschuldet. Inwieweit die Vorinstanz mit dieser Feststellung in Willkür verfallen sein soll (dazu Näheres: BGE 146 IV 88 E. 1.3.1 f. und 140 III 115 E. 2; je mit Hinweisen), legt die Beschwerdeführerin nicht dar. Ebenso wenig führt sie aus, weshalb die darauf beruhenden Erwägungen gegen Bundesrecht verstossen oder einen anderen Beschwerdegrund (vgl. Art. 95 lit. a-e BGG ) gesetzt haben könnten. Der Verweis auf ihre Erkrankung während der Kündigungsfrist ist diesbezüglich genauso wenig zielführend, wie den Beschluss der Paritätischen Schlichtungsbehörde des Kantons Zürich für Streitigkeiten nach dem Gleichstellungsgesetz vom 8. April 2024 anzurufen. Beides ändert nichts an der vorinstanzlichen Feststellung hinsichtlich der fehlenden Bemühungen der Beschwerdeführerin, das Arbeitsverhältnis - wie von der damaligen Arbeitgeberin in einer zumutbaren Form offeriert - fortzuführen.</w:t>
      </w:r>
    </w:p>
    <w:p>
      <w:r>
        <w:rPr>
          <w:b/>
        </w:rPr>
        <w:t>E. 4</w:t>
      </w:r>
    </w:p>
    <w:p>
      <w:r>
        <w:t>Liegt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 In Anwendung von Art. 66 Abs. 1 Satz 2 BGG kann jedoch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