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8C_101/2012 vom 2. Mai 2013</w:t>
      </w:r>
    </w:p>
    <w:p>
      <w:r>
        <w:t>Bundesgericht, 2013-05-02, FR</w:t>
      </w:r>
    </w:p>
    <w:p>
      <w:r>
        <w:rPr>
          <w:b/>
        </w:rPr>
        <w:t xml:space="preserve">Quelle: </w:t>
      </w:r>
      <w:r>
        <w:t>https://mcp.opencaselaw.ch/entscheid/bger_8C_101_2012</w:t>
      </w:r>
    </w:p>
    <w:p>
      <w:r>
        <w:t>FR: TF 8C_101/2012 du 2 mai 2013</w:t>
      </w:r>
    </w:p>
    <w:p>
      <w:r>
        <w:t>IT: TF 8C_101/2012 del 2 maggio 2013</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éventuel de l'intimée à la prise en charge par la recourante des suites de l'événement du 23 janvier 2011 au titre des prestations en cas de lésions corporelles assimilées à un accident au sens de l' art. 9 al. 2 let. a OLAA (fractures).</w:t>
      </w:r>
    </w:p>
    <w:p>
      <w:r>
        <w:t>Lorsque, comme en l'occurrence, le jugement entrepris porte sur des prestations en espèces et en nature de l'assurance-accidents (frais de traitement et indemnité journalière),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(arrêts 8C_522/2011 du 6 juillet 2012 consid. 2; 8C_115/2011 du 26 janvier 2012 consid. 2; 8C_39/2010 du 7 septembre 2010 consid. 2).</w:t>
      </w:r>
    </w:p>
    <w:p>
      <w:r>
        <w:rPr>
          <w:b/>
        </w:rPr>
        <w:t>E. 3.1</w:t>
      </w:r>
    </w:p>
    <w:p>
      <w:r>
        <w:t>Aux termes de l' art. 6 al. 2 LAA , le Conseil fédéral peut inclure dans l'assurance-accidents des lésions corporelles qui sont semblables aux conséquences d'un accident. En vertu de cette délégation de compétence, il a édicté l' art. 9 al. 2 OLAA ,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Les fractures figurent dans la liste exhaustive de l' art. 9 al. 2 OLAA à la let. a.</w:t>
      </w:r>
    </w:p>
    <w:p>
      <w:r>
        <w:t>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 art. 9 al. 2 OLAA sont assimilées à un accident même si elles ont, pour l'essentiel, une origine vraisemblablement maladive ou dégénérative, pour autant qu'une cause extérieure ait, au moins, déclenché les symptômes dont souffre l'assuré ( ATF 129 V 466 ; 123 V 43 consid. 2b p. 44; 116 V 145 consid. 2c p. 147; 114 V 298 consid. 3c p. 301).</w:t>
      </w:r>
    </w:p>
    <w:p>
      <w:r>
        <w:rPr>
          <w:b/>
        </w:rPr>
        <w:t>E. 3.2</w:t>
      </w:r>
    </w:p>
    <w:p>
      <w:r>
        <w:t>La juridiction cantonale a admis l'existence d'une fracture du calcanéum droit due à un facteur extérieur consistant dans le violent coup de talon donné contre le sol. Bien qu'elle ait été facilitée par une carence en vitamine D consécutive à l'allaitement, les premiers juges ont considéré que cette lésion corporelle assimilée à un accident n'était pas manifestement imputable à une maladie ou à des phénomènes dégénératifs, du moment que le violent coup de talon donné contre le sol apparaît comme la condition</w:t>
      </w:r>
    </w:p>
    <w:p>
      <w:r>
        <w:t>sine qua non de la lésion. En ce qui concerne l'exigence d'un lien de causalité adéquate, la juridiction cantonale a relevé qu'il n'est certes pas dans le cours ordinaire des choses et l'expérience de la vie qu'un coup de talon contre le sol entraîne une fracture. Toutefois, en présence d'une atteinte à la santé physique, l'assureur-accidents répond aussi des complications les plus singulières et les plus graves qui ne se produisent habituellement pas selon l'expérience médicale, de sorte que la causalité adéquate a été admise par la juridiction cantonale.</w:t>
      </w:r>
    </w:p>
    <w:p>
      <w:r>
        <w:rPr>
          <w:b/>
        </w:rPr>
        <w:t>E. 3.3</w:t>
      </w:r>
    </w:p>
    <w:p>
      <w:r>
        <w:t>La recourante conteste l'existence d'une lésion corporelle assimilée à un accident en faisant valoir que la fracture du calcanéum droit n'est pas due à un facteur extérieur.</w:t>
      </w:r>
    </w:p>
    <w:p>
      <w:r>
        <w:rPr>
          <w:b/>
        </w:rPr>
        <w:t>E. 3.3.1</w:t>
      </w:r>
    </w:p>
    <w:p>
      <w:r>
        <w:t>Tout d'abord, elle allègue que le seul fait que l'intimée a éprouvé pour la première fois des douleurs après avoir frappé le sol de son pied ne suffit pas, selon la jurisprudence, pour admettre l'existence d'un facteur extérieur.</w:t>
      </w:r>
    </w:p>
    <w:p>
      <w:r>
        <w:t>Ce moyen n'est pas pertinent. Le facteur doit être extérieur en ce sens qu'il doit s'agir d'une cause externe et non interne au corps humain (cf. JEAN-MAURICE FRÉSARD/MARGIT MOSER-SZELESS, L'assurance-accidents obligatoire, in: Schweizerisches Bundesverwaltungsrecht [SBVR], Soziale Sicherheit, 2</w:t>
      </w:r>
    </w:p>
    <w:p>
      <w:r>
        <w:t>ème éd., p. 859 n. 66). En l'espèce, les douleurs éprouvées ne sont pas apparues spontanément mais à la suite du coup porté contre le sol, lequel constitue un facteur extérieur clairement reconnaissable.</w:t>
      </w:r>
    </w:p>
    <w:p>
      <w:r>
        <w:t>Par ailleurs, il faut admettre l'existence d'un facteur extérieur générant un risque de lésion accru lorsqu'un geste quotidien représente une sollicitation du corps plus élevée que ce qui est physiologiquement normal et psychologiquement contrôlé. C'est le cas en particulier lors de la survenance d'une circonstance qui rend incontrôlable un geste de la vie courante, comme un accès de colère au cours duquel une personne effectue un mouvement violent non maîtrisé.</w:t>
      </w:r>
    </w:p>
    <w:p>
      <w:r>
        <w:rPr>
          <w:b/>
        </w:rPr>
        <w:t>E. 3.3.2</w:t>
      </w:r>
    </w:p>
    <w:p>
      <w:r>
        <w:t>Par un deuxième moyen, la recourante fait valoir que le coup de talon donné contre le sol a entraîné une fracture en raison notamment d'un phénomène dégénératif sous la forme d'une déminéralisation des os ou d'un déficit en vitamine D. Aussi, soutient-elle que ce geste ne représente pas un risque accru en regard d'une sollicitation normale de l'organisme et qu'il doit être qualifié objectivement de quotidien ou d'habituel.</w:t>
      </w:r>
    </w:p>
    <w:p>
      <w:r>
        <w:t>Cette argumentation n'est toutefois pas apte à mettre en cause le point de vue des premiers juges. Le fait que le geste de frapper le sol du pied puisse être qualifié éventuellement de quotidien ou d'habituel permet, certes, de nier le caractère extraordinaire du facteur extérieur ( ATF 121 V 35 consid. 1a p. 38; 118 V 59 consid. 2b p. 61 et les références), mais il ne constitue pas un critère pour nier l'existence d'un tel facteur.</w:t>
      </w:r>
    </w:p>
    <w:p>
      <w:r>
        <w:t>Par ailleurs, on ne saurait soutenir en l'occurrence que la fracture est manifestement imputable à des phénomènes dégénératifs (cf. art. 9 al. 2 in initio OLAA). Du reste, la recourante ne le prétend pas puisqu'elle évoque seulement une origine partiellement dégénérative. Au demeurant, le fait qu'il ait pu exister un terrain favorisant la survenance d'une fracture ressortit à la question de la causalité. Or, sur ce point, il n'y a pas de motif de mettre en cause le point de vue des premiers juges, selon lequel il existe un lien de causalité naturelle et adéquate entre la fracture du calcanéum droit et le violent coup de talon donné contre le sol. Renvoi soit à cet égard aux considérants du jugement attaqué.</w:t>
      </w:r>
    </w:p>
    <w:p>
      <w:r>
        <w:t>Enfin, la recourante ne saurait nier son obligation de prendre en charge les suites de l'événement du 23 janvier 2011 en excipant du caractère volontaire de l'atteinte. L'existence d'un accident - ou, comme en l'occurrence, d'une lésion corporelle assimilée à un accident - ne peut être niée que si l'intention porte sur l'atteinte à la santé et non sur le comportement qui produit l'atteinte dommageable ( ATF 115 V 151 consid. 4 p. 152). Or, en l'espèce, si le geste de l'intimée était volontaire, ses conséquences dommageables ne l'étaient pas.</w:t>
      </w:r>
    </w:p>
    <w:p>
      <w:r>
        <w:rPr>
          <w:b/>
        </w:rPr>
        <w:t>E. 3.3.3</w:t>
      </w:r>
    </w:p>
    <w:p>
      <w:r>
        <w:t>Vu ce qui précède, la recourante était tenue de prendre en charge les suites de l'événement du 23 janvier 2011 au titre des prestations de l'assurance-accidents obligatoire en cas de lésions corporelles assimilées à un accident au sens de l' art. 9 al. 2 let. a OLAA . Le jugement entrepris n'est dès lors pas critiquable et le recours se révèle mal fondé.</w:t>
      </w:r>
    </w:p>
    <w:p>
      <w:r>
        <w:rPr>
          <w:b/>
        </w:rPr>
        <w:t>E. 4</w:t>
      </w:r>
    </w:p>
    <w:p>
      <w:r>
        <w:t>La recourante, qui succombe, supportera les frais judiciaires ( art. 66 al. 1 LTF ).</w:t>
      </w:r>
    </w:p>
    <w:p>
      <w:r>
        <w:t>Quant aux conditions d'octroi d'une indemnité de dépens à l'intimée qui n'est pas représentée par un avocat, elles ne sont pas réalisées en l'occurrence (cf. ATF 125 II 518 consid. 5b p. 519 s.; 110 V 72 consid. 7 p. 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