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8C_1019/2009 vom 26. Mai 2010</w:t>
      </w:r>
    </w:p>
    <w:p>
      <w:r>
        <w:t>Bundesgericht, 2010-05-26, DE</w:t>
      </w:r>
    </w:p>
    <w:p>
      <w:r>
        <w:rPr>
          <w:b/>
        </w:rPr>
        <w:t xml:space="preserve">Quelle: </w:t>
      </w:r>
      <w:r>
        <w:t>https://mcp.opencaselaw.ch/entscheid/bger_8C_1019_2009</w:t>
      </w:r>
    </w:p>
    <w:p>
      <w:r>
        <w:t>FR: TF 8C_1019/2009 du 26 mai 2010</w:t>
      </w:r>
    </w:p>
    <w:p>
      <w:r>
        <w:t>IT: TF 8C_1019/2009 del 26 maggio 2010</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134 V 250 E. 1.2 S. 252).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gesetzlichen Bestimmungen zum Unfallbegriff ( Art. 4 ATSG ) sowie zur Leistungspflicht der Unfallversicherung bei Unfällen ( Art. 6 Abs. 1 UVG ) und bei unfallähnlichen Körperschädigungen ( Art. 6 Abs. 2 UVG in Verbindung mit Art. 9 Abs. 2 UVV ), diesbezüglich insbesondere die zuletzt in BGE 129 V 466 bestätigte Rechtsprechung, wonach bei unfallähnlichen Körperschädigungen am Erfordernis des äusseren Faktors festzuhalten ist, zutreffend dargelegt. Darauf wird verwiesen. Richtig sind auch die Ausführungen zu dem im Sozialversicherungsrecht massgebenden Beweisgrad der überwiegenden Wahrscheinlichkeit ( BGE 129 V 177 E. 3.1 S. 181 mit Hinweisen) sowie zur Beweismaxime der "Aussage der ersten Stunde", die eine im Rahmen der freien Beweiswürdigung ( Art. 61 lit. c ATSG ) zu berücksichtigende Entscheidungshilfe darstellt ( BGE 121 V 45 E. 2a S. 47; RKUV 2004 Nr. U 524 S. 546 [U 236/03]).</w:t>
      </w:r>
    </w:p>
    <w:p>
      <w:r>
        <w:rPr>
          <w:b/>
        </w:rPr>
        <w:t>E. 3</w:t>
      </w:r>
    </w:p>
    <w:p>
      <w:r>
        <w:t>Streitig und zu prüfen ist, ob die Beschwerdegegnerin für die Folgen der am 6. März 2000 erlittenen Schulterverletzung der Versicherten leistungspflichtig ist.</w:t>
      </w:r>
    </w:p>
    <w:p>
      <w:r>
        <w:rPr>
          <w:b/>
        </w:rPr>
        <w:t>E. 3.1</w:t>
      </w:r>
    </w:p>
    <w:p>
      <w:r>
        <w:t>Die Zürich erbrachte aus dem Ereignis vom 6. März 2000 Heilbehandlung und richtete Taggelder aus. Mit Verfügung vom 23. November 2007 stellte sie ihre Leistungen per 1. Januar 2008 ein, sprach der Beschwerdeführerin eine Integritätsentschädigung zu und verneinte den Anspruch auf eine Invalidenrente mit der Begründung, die Versicherte sei in einer angepassten Tätigkeit zu 100% arbeitsfähig und könne ein rentenausschliessendes Einkommen erzielen. Diesen Standpunkt bestätigte sie im Einspracheentscheid vom 9. Juni 2008 und führte ergänzend aus, die natürliche Kausalität der Schulterverletzung, welche mit einer Integritätsentschädigung abgegolten worden sei, werde nicht bestritten. Bezüglich der psychischen Problematik sei die adäquate Kausalität mit dem sehr leichten Ereignis, bei welchem es sich grundsätzlich nicht einmal um ein Unfallereignis, sondern um eine unfallähnliche Körperschädigung handle, zu verneinen.</w:t>
      </w:r>
    </w:p>
    <w:p>
      <w:r>
        <w:rPr>
          <w:b/>
        </w:rPr>
        <w:t>E. 3.2</w:t>
      </w:r>
    </w:p>
    <w:p>
      <w:r>
        <w:t>Das kantonale Gericht stellte in einlässlicher Würdigung der Aktenlage fest, dass das Vorkommnis vom 6. März 2000 mangels Vorliegens eines ungewöhnlichen äusseren Faktors den Unfallbegriff nicht erfülle und dass es sich bei der erlittenen Verletzung nicht um eine unfallähnliche Körperschädigung gemäss Art. 9 Abs. 2 UVV handle. Es bestätigte daher die ex nunc et pro futuro verfügte Leistungseinstellung der Beschwerdegegnerin.</w:t>
      </w:r>
    </w:p>
    <w:p>
      <w:r>
        <w:rPr>
          <w:b/>
        </w:rPr>
        <w:t>E. 4.1</w:t>
      </w:r>
    </w:p>
    <w:p>
      <w:r>
        <w:t>Die Beschwerdeführerin rügt zunächst eine unzulässige Ausdehnung des Prozessgegenstandes, da anstelle der bisher zur Diskussion gestandenen Kausalitätsfragen nun plötzlich geprüft worden sei, ob überhaupt ein Unfall oder eine unfallähnliche Körperschädigung vorgelegen habe. Indem die Beschwerdegegnerin während rund sieben Jahren Unfalltaggelder sowie Heilungskosten und schliesslich eine Integritätsentschädigung ausgerichtet habe, habe sie sodann zumindest konkludent das Vorliegen eines Unfalles bzw. einer unfallähnlichen Körperschädigung anerkannt, weshalb die Einstellung der Leistungen - so die Beschwerdeführerin - auch dem Gedanken des Vertrauensschutzes zuwiderlaufe.</w:t>
      </w:r>
    </w:p>
    <w:p>
      <w:r>
        <w:rPr>
          <w:b/>
        </w:rPr>
        <w:t>E. 4.2</w:t>
      </w:r>
    </w:p>
    <w:p>
      <w:r>
        <w:t>Streitgegenstand ist die Leistungspflicht der obligatorischen Unfallversicherung aus dem Ereignis vom 6. März 2000 über den 1. Januar 2008 hinaus. Dazu gehört selbstverständlich auch die Frage, ob überhaupt ein Unfall oder eine unfallähnliche Körperschädigung vorliegt, weshalb beim Bestreiten eines leistungsbegründenden Ereignisses nicht von einer Ausweitung des Prozessgegenstandes gesprochen werden kann. Da sodann die Leistungseinstellung vorliegend ex nunc et pro futuro verfügt worden ist, keine Rückforderung bereits ausgerichteter Leistungen zur Diskussion steht und es nicht um Dauerleistungen geht, ist die Leistungseinstellung ohne Berufung auf einen Wiedererwägungs- oder Revisionsgrund möglich ( BGE 130 V 380 E. 2.3 S. 384; vgl. auch Urteil 8C_444/2009 vom 11. Januar 2010 E. 5.1). Vorbehalten bleiben rechtsprechungsgemäss lediglich Fälle, in denen der Vertrauensschutz einem sofortigen Leistungsstopp entgegensteht ( BGE 130 V 380 E. 2.3.1 S. 384 mit Hinweis). Unabhängig von der Frage, ob allein die längerdauernde Ausrichtung kurzfristiger Leistungen wie Taggelder theoretisch überhaupt geeignet wäre, eine Vertrauensbasis für die weitere Ausrichtung von Leistungen zu begründen, ist Voraussetzung für eine Berufung auf den Vertrauensschutz allemal, dass die betroffene Person sich berechtigterweise auf die Vertrauensgrundlage verlassen durfte und gestützt darauf nachteilige Dispositionen getroffen hat, die sie nicht mehr rückgängig machen kann ( BGE 131 II 627 E. 6 S. 636 ff. ; 129 I 161 E. 4.1 S. 170 ; 127 I 31 E. 3a S. 36; Häfelin/Müller, Allgemeines Verwaltungsrecht, 5. Auflage 2006, S. 130 ff.). Der von der Beschwerdeführerin diesbezüglich geltend gemacht Umstand, die bisherigen Taggeldleistungen hätten ihrem Lebensunterhalt gedient und sie über die lange Leistungsdauer in eine materielle Abhängigkeit hineinmanövriert, vermag diese Voraussetzung klarerweise nicht zu erfüllen.</w:t>
      </w:r>
    </w:p>
    <w:p>
      <w:r>
        <w:rPr>
          <w:b/>
        </w:rPr>
        <w:t>E. 5</w:t>
      </w:r>
    </w:p>
    <w:p>
      <w:r>
        <w:t>Nach Gesagtem ist unabhängig von der bisherigen Leistungsausrichtung zu prüfen, ob das Ereignis vom 6. März 2000 einen Unfall im Rechtssinne darstellt oder eine unfallähnliche Körperschädigung im Sinne von Art. 9 Abs. 2 UVV bewirkt hat.</w:t>
      </w:r>
    </w:p>
    <w:p>
      <w:r>
        <w:rPr>
          <w:b/>
        </w:rPr>
        <w:t>E. 5.1.1</w:t>
      </w:r>
    </w:p>
    <w:p>
      <w:r>
        <w:t>Was zunächst die Frage des Vorliegens eines Unfalles anbelangt, hat das kantonale Gericht in eingehender Würdigung der Aktenlage aufgezeigt, dass die Angaben zum Ereignis vom 6. März 2000 nicht einheitlich sind, und überzeugend dargelegt, dass im Sinne der Beweismaxime der Aussage der ersten Stunde auf die Beschreibung gemäss Unfallhergang vom 10. März 2000 abzustellen ist, welche einerseits denjenigen Schilderungen nicht entgegensteht, die von einer falschen oder schlechten Bewegung sprechen, und andrerseits jener Version entspricht, die dem Verfahren bis zum Erlass des Einspracheentscheids vom 9. Juni 2008 ohne Einwendungen der Beschwerdeführerin zu Grunde lag. Dieses Vorgehen ist entgegen der Auffassung der Beschwerdeführerin nicht zu beanstanden. Insbesondere vermag auch eine Befragung der Versicherten zum rund zehn Jahre zurückliegenden Ereignis keine grössere Wahrscheinlichkeit für einen andern Hergang zu bringen, konnte sie sich doch bereits anlässlich der Befragung vom 23. September 2004 weder an das Gewicht der Kiste noch an den genauen Bewegungsablauf erinnern, weshalb sich eine solche erübrigt. Auszugehen ist daher mit der Vorinstanz davon, dass der Beschwerdeführerin beim Versuch, eine schwere Bücherkiste hochzuheben, diese aus der Hand glitt und sie nachfasste.</w:t>
      </w:r>
    </w:p>
    <w:p>
      <w:r>
        <w:rPr>
          <w:b/>
        </w:rPr>
        <w:t>E. 5.1.2</w:t>
      </w:r>
    </w:p>
    <w:p>
      <w:r>
        <w:t>Der geschilderte Vorgang erfüllt den Unfallbegriff nicht, da es - wie das kantonale Gericht zutreffend dargelegt hat - rechtsprechungsgemäss an einem ungewöhnlichen äusseren Faktor fehlt. Weder war der natürliche Ablauf der Körperbewegung durch etwas Programmwidriges oder Sinnfälliges wie Ausgleiten, Stolpern o.Ä. beeinträchtigt, noch fehlen Anhaltspunkte für eine ausserordentliche Überanstrengung. Schliesslich erwähnt die Vorinstanz zu Recht, dass die Beschwerdeführerin gemäss Akten bereits einmal im Alter zwischen 12 und 16 Jahren eine Erstluxation der rechten Schulter erlitten hatte und dass die erstbehandelnden Ärzte des Spitals W.________ am 7. März 2000 eine chronisch instabile Schulter rechts diagnostiziert hatten. Diesbezüglich ist daher auch auf die Rechtsprechung zu verweisen, wonach in Abgrenzung zur Krankheit der äussere Faktor beim Unfall als exogenes Element so ungewöhnlich sein muss, dass eine endogene Verursachung ausser Betracht fällt ( BGE 134 V 72 E. 4.1.1 S. 76 f.). Im Übrigen kann auf die einlässlichen und überzeugenden Erwägungen des kantonalen Gerichts verwiesen werden, welche auch die Rechtsprechung des Bundesgerichts aufzeigen.</w:t>
      </w:r>
    </w:p>
    <w:p>
      <w:r>
        <w:rPr>
          <w:b/>
        </w:rPr>
        <w:t>E. 5.2</w:t>
      </w:r>
    </w:p>
    <w:p>
      <w:r>
        <w:t>Was sodann das Vorliegen einer unfallähnlichen Körperschädigung anbelangt, ist die Vorinstanz zu Recht zum Schluss gekommen, dass es sich bei der am 7. März 2000 im Spital X.________ festgestellten Subluxation des Humeruskopfes und diagnostizierten chronisch instabilen Schulter rechts (Differentialdiagnose: willkürliche Schulterluxation rechts) nicht um eine der in Art. 9 Abs. 2 UVV abschliessend aufgezählten unfallähnlichen Körperschädigungen handelt. Die in Art. 9 Abs. 2 lit. b UVV erwähnten Verrenkungen von Gelenken erfassen rechtsprechungsgemäss nur eigentliche Gelenksverrenkungen (Luxationen), nicht aber unvollständige Verrenkungen (Subluxationen) oder Torsionen (Verdrehungen) und Distorsionen (Verstauchungen; vgl. Urteil 8C_1000/2008 vom 27. Februar 2009 E. 2.3 mit Hinweisen). Die als Differentialdiagnose erwähnte willkürliche Schulterluxation schliesslich wäre auf eine Erkrankung oder Degeneration zurückzuführen, worauf auch die diagnostizierte instabile Schulter schliessen lässt. Auf einen krankhaften oder degenerativen Zustand hin deutet denn auch die Aussage der Beschwerdeführerin, wonach es in ihrer gesamten Gesundheitsanamnese immer wieder zu Luxationen gekommen sei. Selbst eine Luxation wäre indessen nicht unter eine unfallähnliche Körperschädigung gemäss Art. 9 Abs. 2 UVV zu subsumieren, sofern sie auf eine Erkrankung oder Degeneration zurückzuführen ist.</w:t>
      </w:r>
    </w:p>
    <w:p>
      <w:r>
        <w:rPr>
          <w:b/>
        </w:rPr>
        <w:t>E. 5.3</w:t>
      </w:r>
    </w:p>
    <w:p>
      <w:r>
        <w:t>Zusammenfassend ist das kantonale Gericht korrekt zum Schluss gekommen, dass das Ereignis vom 6. März 2000 weder einen Unfall darstellt noch eine unfallähnliche Körperschädigung bewirkt hat, weshalb die Leistungspflicht des Unfallversicherers über den 1. Januar 2008 hinaus zu Recht verneint wurde.</w:t>
      </w:r>
    </w:p>
    <w:p>
      <w:r>
        <w:rPr>
          <w:b/>
        </w:rPr>
        <w:t>E. 6</w:t>
      </w:r>
    </w:p>
    <w:p>
      <w:r>
        <w:t>Schliesslich beantragt die Beschwerdeführerin die Übernahme der Kosten für das von ihr in Auftrag gegebene Gutachten des Instituts Y.________ vom 4. Juni 2008 in der Höhe von Fr. 7000.-.</w:t>
      </w:r>
    </w:p>
    <w:p>
      <w:r>
        <w:t>Nach der Rechtsprechung sind unter dem Titel Parteientschädigung auch die Kosten privat eingeholter Gutachten zu vergüten, soweit dies für die Entscheidfindung unerlässlich war ( BGE 115 V 62 ). Da das von der Beschwerdeführerin beigebrachte Gutachten des Instituts Y.________ für die Beurteilung nicht erforderlich, sondern eine solche auch aufgrund der vorhandenen Unterlagen ohne weiteres möglich war, ist dem Antrag nicht stattzugeben.</w:t>
      </w:r>
    </w:p>
    <w:p>
      <w:r>
        <w:rPr>
          <w:b/>
        </w:rPr>
        <w:t>E. 7</w:t>
      </w:r>
    </w:p>
    <w:p>
      <w:r>
        <w:t>Das Verfahren ist kostenpflichtig ( Art. 65 BGG ). Die Gerichtskosten werden der unterliegenden Beschwerdeführerin auferlegt ( Art. 66 Abs. 1 BGG ). Dem Gesuch um unentgeltliche Rechtspflege (im Sinne der vorläufigen Befreiung von den Gerichtskosten und der unentgeltlichen Verbeiständung) kann entsprochen werden, da die Bedürftigkeit ausgewiesen ist, die Beschwerde nicht als aussichtslos zu bezeichnen und die Vertretung durch einen Rechtsanwalt geboten war ( Art. 64 Abs. 1 und 2 BGG ).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