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8C_1016/2012 vom 19. August 2013</w:t>
      </w:r>
    </w:p>
    <w:p>
      <w:r>
        <w:t>Bundesgericht, 2013-08-19, FR</w:t>
      </w:r>
    </w:p>
    <w:p>
      <w:r>
        <w:rPr>
          <w:b/>
        </w:rPr>
        <w:t xml:space="preserve">Quelle: </w:t>
      </w:r>
      <w:r>
        <w:t>https://mcp.opencaselaw.ch/entscheid/bger_8C_1016_2012</w:t>
      </w:r>
    </w:p>
    <w:p>
      <w:r>
        <w:t>FR: TF 8C_1016/2012 du 19 août 2013</w:t>
      </w:r>
    </w:p>
    <w:p>
      <w:r>
        <w:t>IT: TF 8C_1016/2012 del 19 agosto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compte tenu des conclusions du recourant, sur le droit de celui-ci à l'indemnité de chômage à partir du 18 août 2011.</w:t>
      </w:r>
    </w:p>
    <w:p>
      <w:r>
        <w:rPr>
          <w:b/>
        </w:rPr>
        <w:t>E. 3.1</w:t>
      </w:r>
    </w:p>
    <w:p>
      <w:r>
        <w:t>Selon les premiers juges, X.________ GmbH n'était pas encore entrée en liquidation lorsque le recourant avait déposé sa demande. Au vu de la jurisprudence, on ne pouvait donc pas considérer que l'intéressé avait alors définitivement quitté cette société en raison de la fermeture de celle-ci. Cela étant, la signature du recourant avait été radiée le 18 août 2011, date à laquelle il avait cessé d'être associé et président des gérants. On pouvait ainsi douter qu'il ait depuis lors exercé au sein de cette entreprise une position influente excluant son droit à une indemnité de chômage. Toutefois, le recourant avait également été un des liquidateurs de Y.________ GmbH avant la radiation de celle-ci du registre du commerce le 30 juillet 2012; à ce titre, il avait continué de fixer les décisions de l'employeur ou de les influencer de manière déterminante, avec pouvoir d'accomplir tous les actes entrant dans le cadre du but de la liquidation, y compris le cas échéant de nouvelles opérations. Dans ces conditions, il n'avait pas droit, jusqu'à cette dernière date en tout cas, à des indemnités de chômage; partant, c'est à bon droit que l'intimée lui avait refusé de telles prestations par sa décision sur opposition du 20 février 2012.</w:t>
      </w:r>
    </w:p>
    <w:p>
      <w:r>
        <w:rPr>
          <w:b/>
        </w:rPr>
        <w:t>E. 3.2</w:t>
      </w:r>
    </w:p>
    <w:p>
      <w:r>
        <w:t>Le recourant se plaint d'une violation du droit fédéral. Il soutient, ainsi qu'il l'avait déjà fait en procédure cantonale, que la mise en liquidation de Y.________ GmbH est consécutive à la décision de V.________ AG. Cette dernière, qui exploiterait les magasins W.________ selon un système de franchise, faisant supporter à un tiers le risque économique lié aux établissements en question, aurait imposé à Y.________ GmbH toutes les modalités de son activité et l'aurait empêché de poursuivre celle-ci en résiliant, dans le courant de l'année 2007, le bail relatif aux locaux du magasin W.________ de l'aire Y.________. Aussi aurait-il droit à une indemnité de chômage à partir du 18 août 2011 en dépit du fait qu'il a été liquidateur de ladite société jusqu'à la radiation de celle-ci du registre du commerce.</w:t>
      </w:r>
    </w:p>
    <w:p>
      <w:r>
        <w:rPr>
          <w:b/>
        </w:rPr>
        <w:t>E. 4.1</w:t>
      </w:r>
    </w:p>
    <w:p>
      <w:r>
        <w:t>Les travailleurs dont la durée normale du travail est réduite ou l'activité suspendue ont droit à l'indemnité en cas de réduction de l'horaire de travail lorsqu'ils remplissent les conditions décrites aux lettres a à d de l' art. 31 al. 1 LACI . Une réduction de l'horaire de travail peut consister non seulement en une réduction de la durée quotidienne, hebdomadaire ou mensuelle du travail, mais aussi en une cessation d'activité pour une certaine période, sans résiliation des rapports de travail ( ATF 123 V 234 consid. 7b/bb p. 237; arrêt 8C_481/2010 du 15 février 2011 consid. 3.1). N'ont pas droit à l'indemnité en question les travailleurs dont la réduction de l'horaire de travail ne peut pas être déterminée ou dont l'horaire n'est pas suffisamment contrôlable ( art. 31 al. 3 let. a LACI ),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4.2</w:t>
      </w:r>
    </w:p>
    <w:p>
      <w:r>
        <w:t>La jurisprudence considère, par ailleurs, qu'un travailleur qui jouit d'une situation comparable à celle d'un employeur - ou son conjoint -, n'a pas droit à l'indemnité de chômage ( art. 8 ss LACI )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 art. 31 al. 3 let . c LACI. Dans ce sens, il existe un étroit parallélisme entre le droit à l'indemnité en cas de réduction de l'horaire de travail et le droit à l'indemnité journalière de chômage (arrêt 8C_481/2010 du 15 février 2011 consid. 3.2).</w:t>
      </w:r>
    </w:p>
    <w:p>
      <w:r>
        <w:rPr>
          <w:b/>
        </w:rPr>
        <w:t>E. 4.3</w:t>
      </w:r>
    </w:p>
    <w:p>
      <w:r>
        <w:t>Lorsque le salarié qui se trouve dans une position assimilable à celle d'un employeur quitte définitivement l'entreprise en raison de la fermeture de celle-ci, il n'y a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8C_481/2010 du 15 février 2011 consid. 4.2 et les références;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C 267/04 du 3 avril 2006 consid. 4.2, in DTA 2007 p. 115 et C 373/00 du 19 mars 2002 consid. 3a; cf. également arrêt C 180/06 du 16 avril 2007 consid. 3.1, in SVR 2007 AlV no 21 p. 69). Lorsque le salarié est membre d'un conseil d'administration ou associé d'une société à responsabilité limitée, l'inscription au registre du commerce constitue en règle générale le critère de délimitation décisif ( ATF 122 V 270 consid. 3 p. 273). La radiation de l'inscription permet d'admettre sans équivoque que l'assuré a quitté la société (arrêt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(Boris Rubin, Assurance-chômage, 2ème éd. 2006, p. 131). Cependant, si malgré le maintien de l'inscription au registre du commerce, l'assuré prouve qu'il ne possède effectivement plus ce pouvoir, il n'y a pas détournement de la loi (arrêt C 157/06 du 22 janvier 2007 consid. 2; C 194/03 du 14 avril 2005 consid. 2.4).</w:t>
      </w:r>
    </w:p>
    <w:p>
      <w:r>
        <w:rPr>
          <w:b/>
        </w:rPr>
        <w:t>E. 5.1</w:t>
      </w:r>
    </w:p>
    <w:p>
      <w:r>
        <w:t>Sur le vu des allégations du recourant et du but social de Y.________ GmbH (limité à la conduite et l'exploitation du magasin W.________ AG de l'aire de repos de Y.________), les premiers juges ne pouvaient, sans autres mesures d'instruction, nier le droit de l'intéressé à l'indemnité de chômage en raison de son seul statut de liquidateur. En effet, on ne saurait exclure que V.________ AG, par les décisions qu'elle a prises, ait rendu impossible une continuation ou une reprise des activités de la société en liquidation et, de ce fait, un éventuel réengagement du recourant. Si l'on admet, comme le soutient celui-ci, que les parties étaient liées par un contrat de franchise pour la réalisation duquel la sàrl avait été constituée, on peut penser que la résiliation de ce contrat entraînait de facto et irrévocablement la fin des activités de cette société. Il est en effet des situations où le franchisé est à ce point dépendant du franchiseur qu'il occupe une position comparable à celle d'un travailleur (Tercier/Favre/Bugnon, Les contrats spéciaux, 4e éd. 2009, n° 8051). Dans une telle hypothèse, il faudrait admettre que le recourant n'avait aucun pouvoir sur l'avenir de la société, dont le sort était uniquement entre les mains du franchiseur et, par conséquent, que sa fonction de liquidateur ne faisait pas, à elle seule, obstacle au droit à l'indemnité de chômage. Les faits retenus par les premiers juges ne permettent de trancher définitivement la question. Dans ces conditions, il convient de leur renvoyer la cause pour qu'ils complètent l'instruction, notamment en donnant suite à l'offre de preuve présentée devant eux par le recourant, susceptible d'établir selon lui son absence de tout pouvoir sur la cessation d'activité de la société et tendant à l'audition de deux témoins.</w:t>
      </w:r>
    </w:p>
    <w:p>
      <w:r>
        <w:rPr>
          <w:b/>
        </w:rPr>
        <w:t>E. 5.2</w:t>
      </w:r>
    </w:p>
    <w:p>
      <w:r>
        <w:t>Le recours se révèle donc bien fondé dans le sens des conclusions subsidiaires du recourant et le jugement entrepris doit être annulé.</w:t>
      </w:r>
    </w:p>
    <w:p>
      <w:r>
        <w:rPr>
          <w:b/>
        </w:rPr>
        <w:t>E. 6</w:t>
      </w:r>
    </w:p>
    <w:p>
      <w:r>
        <w:t>Vu l'issue du litige, les frais judiciaires seront mis à charge de l'intimée ( art. 66 al. 1 LTF ) qui versera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