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8C_1015/2012 vom 28. Oktober 2013</w:t>
      </w:r>
    </w:p>
    <w:p>
      <w:r>
        <w:t>Bundesgericht, 2013-10-28, FR</w:t>
      </w:r>
    </w:p>
    <w:p>
      <w:r>
        <w:rPr>
          <w:b/>
        </w:rPr>
        <w:t xml:space="preserve">Quelle: </w:t>
      </w:r>
      <w:r>
        <w:t>https://mcp.opencaselaw.ch/entscheid/bger_8C_1015_2012</w:t>
      </w:r>
    </w:p>
    <w:p>
      <w:r>
        <w:t>FR: TF 8C_1015/2012 du 28 octobre 2013</w:t>
      </w:r>
    </w:p>
    <w:p>
      <w:r>
        <w:t>IT: TF 8C_1015/2012 del 28 ottobre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Pour les assurés qui sont réadaptés professionnellement à l'étranger, la rente transitoire sera allouée jusqu'à l'achèvement de la réadaptation. Les prestations en espèces des assurances sociales étrangères sont prises en compte conformément à l' art. 69 LPGA .</w:t>
      </w:r>
    </w:p>
    <w:p>
      <w:r>
        <w:rPr>
          <w:b/>
        </w:rPr>
        <w:t>E. 2.1</w:t>
      </w:r>
    </w:p>
    <w:p>
      <w:r>
        <w:t>L'assuré invalide ( art. 8 LPGA )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En se fondant sur cette délégation de compétence, le Conseil fédéral a adopté l' art. 30 OLAA qui, sous le titre "Rente transitoire", prévoit ceci:</w:t>
      </w:r>
    </w:p>
    <w:p>
      <w:r>
        <w:t>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w:t>
      </w:r>
    </w:p>
    <w:p>
      <w:r>
        <w:t>a. dès la naissance du droit à une indemnité journalière de l'AI;</w:t>
      </w:r>
    </w:p>
    <w:p>
      <w:r>
        <w:t>b. avec la décision négative de l'AI concernant la réadaptation professionnelle;</w:t>
      </w:r>
    </w:p>
    <w:p>
      <w:r>
        <w:t>c. avec la fixation de la rente définitive.</w:t>
      </w:r>
    </w:p>
    <w:p>
      <w:r>
        <w:rPr>
          <w:b/>
        </w:rPr>
        <w:t>E. 2.3</w:t>
      </w:r>
    </w:p>
    <w:p>
      <w:r>
        <w:t>En cas d'accident relevant de la LAA, la réadaptation professionnelle incombe à l'assurance-invalidité. La rente fixée en application de l' art. 30 OLAA est dénommée "transitoire" et a pour but de permettre à l'assureur-accidents qui ne peut encore fixer définitivement le degré d'invalidité de l'assuré, faute de connaître le résultat des mesures de réadaptation entreprises par l'assurance-invalidité, de verser néanmoins une rente sans attendre ce résultat. Elle a donc pour vocation unique de maintenir une continuité dans le versement des prestations lors même qu'il n'est pas encore possible de fixer définitivement le droit à la rente. Elle prend fin à partir du moment où l'assuré a droit à une indemnité journalière de l'assurance-invalidité. La décision portant sur l'allocation d'une rente transitoire doit mentionner qu'elle sera remplacée dès l'achèvement de la réadaptation ou s'il est renoncé à sa mise en oeuvre ( PETER OMLIN, Die Invalidität in der obligatorischen Unfallversicherung, 1995, p. 199; GHÉLEW/RAMELET/RITTER, Commentaire de la loi sur l'assurance-accidents [LAA], 1992, p. 106 s.; ALFRED MAURER, Schweizerisches Unfallversicherungsrecht, 2</w:t>
      </w:r>
    </w:p>
    <w:p>
      <w:r>
        <w:t>ème éd., Berne 1989, p. 371; cf. également ALEXANDRA RUMO-JUNGO/ANDRÉ PIERRE HOLZER, Rechtsprechung des Bundesgerichts zum Sozialversicherungsrecht, Bundesgesetz über die Unfallversicherung, 4</w:t>
      </w:r>
    </w:p>
    <w:p>
      <w:r>
        <w:t>ème éd. 2012, p. 145 s.). Il s'agit, en effet, d'éviter de faire naître de faux espoirs quant au montant de la rente ordinaire ou "définitive" pour reprendre la terminologie de l' art. 30 OLAA (cf. ATF 129 V 283 consid. 4.1 p. 284). Enfin, en édictant l' art. 19 al. 3 LAA , le législateur n'a pas voulu créer un nouveau mode d'évaluation de l'invalidité. Une rente fondée sur l' 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 ATF 116 V 246 consid. 3a p. 252).</w:t>
      </w:r>
    </w:p>
    <w:p>
      <w:r>
        <w:rPr>
          <w:b/>
        </w:rPr>
        <w:t>E. 3.1</w:t>
      </w:r>
    </w:p>
    <w:p>
      <w:r>
        <w:t>En l'espèce, il est constant que la CNA n'a pas alloué à l'intimé une rente transitoire, mais une rente ordinaire (ou définitive). Au moment où la décision sur opposition du 10 décembre 2010 a été rendue une tentative d'aide au placement avait échoué du fait que l'assuré se déclarait en incapacité totale de travail (décision de l'office de l'assurance-invalidité du 3 novembre 2010). Aucune autre mesure de réadaptation n'était envisagée. La CNA ne le conteste pas. Elle soutient cependant que les rentes ordinaires et les rentes transitoires devraient suivre le même sort lorsque des indemnités journalières de l'assurance-invalidité sont allouées à l'assuré. Ce ne serait pas tant la nature de la rente qui est servie à l'assuré que le droit à ces indemnités qui serait déterminant pour l'application de la coordination prescrite par l' art. 30 al. 1 OLAA . La recourante invoque également le principe de l'égalité de traitement entre assurés. Selon elle, il n'y a aucune raison de traiter ici différemment les assurés au bénéfice d'une rente ordinaire et les assurés au bénéfice d'une rente transitoire. Enfin, toujours selon la recourante, une différenciation imposerait à l'assureur de procéder à un calcul de surindemnisation, impliquant notamment une instruction sur le montant du gain présumé perdu dès le moment où les prestations en cause (rente et indemnités journalières) entrent en concours.</w:t>
      </w:r>
    </w:p>
    <w:p>
      <w:r>
        <w:rPr>
          <w:b/>
        </w:rPr>
        <w:t>E. 3.2</w:t>
      </w:r>
    </w:p>
    <w:p>
      <w:r>
        <w:t>Comme l'ont retenu avec raison les juges précédents, cette opinion ne peut pas être suivie. Elle est de toute évidence contraire au texte clair de la loi et de l'ordonnance. L' art. 30 OLAA , conformément à la délégation sur lequel il repose ( art. 19 al. 3 LAA ), ne trouve application qu'au moment de la fin du traitement médical ( art. 10 LAA ), qui marque la naissance du droit à la rente. Le versement d'une rente transitoire - et sa suppression en cas d'allocation d'une indemnité journalière de l'assurance-invalidité - n'intervient que dans l'hypothèse où l'assureur, à la fin du traitement médical, n'est pas à même de fixer le taux d'invalidité, faute de connaître le résultat de mesures de réadaptation à venir. Cela correspond du reste à la volonté clairement exprimée du législateur qui n'entendait adopter une réglementation spéciale que pour ce type de situations provisoires (sur la genèse de l' art. 19 al. 3 LAA , cf. ATF 129 V 283 consid. 4.2 p. 284 s.). En revanche, quand c'est une rente ordinaire qui est attribuée à l'assuré c'est le régime général qui trouve application. Le droit ne s'éteint que dans les éventualités mentionnées à l' art. 19 al. 2 LAA (remplacement par une indemnité en capital, rachat et décès). Pour cette rente, la loi ne prévoit pas la suspension ou la suppression du droit lorsque les mesures de réadaptation professionnelle sont mises en oeuvre par l'assurance-invalidité. L'octroi de telles mesures n'est pas davantage un motif de révision de la rente selon l' art. 17 LPGA , qui implique une modification du taux d'invalidité.</w:t>
      </w:r>
    </w:p>
    <w:p>
      <w:r>
        <w:rPr>
          <w:b/>
        </w:rPr>
        <w:t>E. 3.3</w:t>
      </w:r>
    </w:p>
    <w:p>
      <w:r>
        <w:t>On notera par ailleurs que l' art. 68 LPGA autorise, sous réserve de surindemnisation, le cumul des indemnités journalières et des rentes de différentes assurances sociales. Cette disposition vise notamment - et précisément aussi - les cas de concours entre les indemnités journalières de l'assurance-invalidité et les rentes de l'assurance-accidents ( art. 39k al. 3 RAI</w:t>
      </w:r>
    </w:p>
    <w:p>
      <w:r>
        <w:t>a contrario ; cf. MICHEL VALTERIO, Droit de l'assurance-vieillesse et survivants [AVS] et de l'assurance-invalidité [AI], 2011, p. 907 n° 3374). S'agissant des difficultés pratiques liées au calcul de la surindemnisation, elles sont inhérentes au régime de coordination prévu par le législateur en cas de concours de prestations (cf. art. 69 al. 2 LPGA ). Elles ne justifient pas de s'écarter de l'application de la loi. Enfin, on ne voit pas en quoi la différence de traitement invoquée par la recourante serait incompatible avec le principe d'égalité de traitement. Indépendamment du fait que cette différence résulte - on l'a vu - du système légal, il y a lieu de constater que la rente transitoire est une prestation temporaire qui est censée garantir des moyens d'existence à l'assuré dans l'attente de la réadaptation et du versement des indemnités journalières qui lui est associé, ce qui peut</w:t>
      </w:r>
    </w:p>
    <w:p>
      <w:r>
        <w:t>a priori justifier une différenciation. A tout le moins, la recourante ne démontre pas le contraire.</w:t>
      </w:r>
    </w:p>
    <w:p>
      <w:r>
        <w:rPr>
          <w:b/>
        </w:rPr>
        <w:t>E. 4</w:t>
      </w:r>
    </w:p>
    <w:p>
      <w:r>
        <w:t>En conclusion, c'est à tort que la CNA a suspendu le versement de la rente d'invalidité à partir du 23 mai 2011 et qu'elle a réclamé à l'assuré la restitution de la rente versée au-delà de cette date. Demeure réservée une éventuelle réduction des prestations (assortie d'une restitution) pour cause de surindemnisation, question qu'il n'y a pas lieu d'examiner à ce stade, pas plus d'ailleurs qu'il n'y a lieu de décider maintenant lequel des deux assureurs sociaux serait fondé à réduire sa prestation, si tant est qu'il y ait surindemnisation.</w:t>
      </w:r>
    </w:p>
    <w:p>
      <w:r>
        <w:rPr>
          <w:b/>
        </w:rPr>
        <w:t>E. 5</w:t>
      </w:r>
    </w:p>
    <w:p>
      <w:r>
        <w:t>Vu l'issue de la procédure, les frais y afférents seront supportés par la recourante ( art. 66 al. 1 LTF ). Celle-ci versera en outre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