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100/2023 vom 27. Februar 2023</w:t>
      </w:r>
    </w:p>
    <w:p>
      <w:r>
        <w:t>Bundesgericht, 2023-02-27, DE</w:t>
      </w:r>
    </w:p>
    <w:p>
      <w:r>
        <w:rPr>
          <w:b/>
        </w:rPr>
        <w:t xml:space="preserve">Quelle: </w:t>
      </w:r>
      <w:r>
        <w:t>https://mcp.opencaselaw.ch/entscheid/bger_8C_100_2023</w:t>
      </w:r>
    </w:p>
    <w:p>
      <w:r>
        <w:t>FR: TF 8C 100/2023 du 27 février 2023</w:t>
      </w:r>
    </w:p>
    <w:p>
      <w:r>
        <w:t>IT: TF 8C 100/2023 del 27 febbraio 2023</w:t>
      </w:r>
    </w:p>
    <w:p>
      <w:pPr>
        <w:pStyle w:val="Heading2"/>
      </w:pPr>
      <w:r>
        <w:t>Regeste</w:t>
      </w:r>
    </w:p>
    <w:p>
      <w:r>
        <w:t>Arbeitslosenversicherung (Prozessvoraussetzung) | Arbeitslosenversicherung</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Die Vorinstanz bestätigte mit Urteil vom 9. Januar 2023 den Einspracheentscheid der Beschwerdegegnerin vom 28. Juli 2022, mit welchem ein Anspruch auf Arbeitslosenentschädigung ab 1. Dezember 2021 verneint wurde. Dies tat sie im Wesentlichen mit der Begründung, ein tatsächlicher Lohnfluss von mindestens Fr. 500.- monatlich ( Art. 40 AVIV ) lasse sich für die Zeit vom 1. Dezember 2020 bis 30. November 2021 nicht mit überwiegender Wahrscheinlichkeit belegen, was nach Art. 8 Abs. 1 lit. e, Art. 13 und Art. 23 AVIG in Verbindung mit Art. 37 Abs. 1 AVIV aber Voraussetzung für einen Leistungsbezug wäre.</w:t>
      </w:r>
    </w:p>
    <w:p>
      <w:r>
        <w:rPr>
          <w:b/>
        </w:rPr>
        <w:t>E. 3</w:t>
      </w:r>
    </w:p>
    <w:p>
      <w:r>
        <w:t>Der Beschwerdeführer bringt vor, alles unternommen zu haben, um den Lohnfluss zu belegen. Inwiefern die von der Vorinstanz dazu vorgenommene Beweiswürdigung willkürlich oder anderweitig rechtsfehlerhaft sein soll, ist damit nicht ansatzweise aufgezeigt. Soweit er darüber hinaus die von der B.________ GmbH in Liquidation und C.________ GmbH in den Jahren 2018 bis 2021 geleisteten ALV-Beiträge zurückfordert, so liegt dies ausserhalb dessen, was vor Bundesgericht zum Streitgegenstand erklärt werden kann ( Art. 99 Abs. 2 BGG ).</w:t>
      </w:r>
    </w:p>
    <w:p>
      <w:r>
        <w:rPr>
          <w:b/>
        </w:rPr>
        <w:t>E. 4</w:t>
      </w:r>
    </w:p>
    <w:p>
      <w:r>
        <w:t>Liegt demnach offensichtlich keine hinreichend sachbezogen begründete Beschwerde vor, so führt dies zu einem Nichteintreten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