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8C_100/2012 vom 29. März 2012</w:t>
      </w:r>
    </w:p>
    <w:p>
      <w:r>
        <w:t>Bundesgericht, 2012-03-29, DE</w:t>
      </w:r>
    </w:p>
    <w:p>
      <w:r>
        <w:rPr>
          <w:b/>
        </w:rPr>
        <w:t xml:space="preserve">Quelle: </w:t>
      </w:r>
      <w:r>
        <w:t>https://mcp.opencaselaw.ch/entscheid/bger_8C_100_2012</w:t>
      </w:r>
    </w:p>
    <w:p>
      <w:r>
        <w:t>FR: TF 8C_100/2012 du 29 mars 2012</w:t>
      </w:r>
    </w:p>
    <w:p>
      <w:r>
        <w:t>IT: TF 8C_100/2012 del 29 marzo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der Beschwerdeführer Anspruch auf eine höhere als die zugesprochene Invalidenrente hat.</w:t>
      </w:r>
    </w:p>
    <w:p>
      <w:r>
        <w:rPr>
          <w:b/>
        </w:rPr>
        <w:t>E. 3.1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Auszugehen ist dabei vom Bruttogehalt. Die vorinstanzliche Erwägung, der Beschwerdeführer hätte sich nach eigenen Angaben im Jahre 2007 als Geschäftsführer seines eigenen Betriebes wie in den Vorjahren einen Bruttolohn von Fr. 7'000.- ausbezahlt, weshalb das Valideneinkommen auf Fr. 91'000.- zu bemessen sei, ist nicht zu beanstanden. Daran vermag nichts zu ändern, dass die Beschwerdegegnerin zunächst von einem höheren Gehalt ausgegangen ist.</w:t>
      </w:r>
    </w:p>
    <w:p>
      <w:r>
        <w:rPr>
          <w:b/>
        </w:rPr>
        <w:t>E. 3.3</w:t>
      </w:r>
    </w:p>
    <w:p>
      <w:r>
        <w:t>Bezüglich des Invalideneinkommens ist unbestritten, dass der Versicherte seine bisherige Tätigkeit unfallbedingt nicht mehr ausüben kann, ihm eine angepasste Tätigkeit jedoch ohne zeitliche Einschränkungen möglich wäre. Die Vorinstanz hat erwogen, das Invalideneinkommen sei daher aufgrund der Tabellenlöhne der Schweizerischen Lohnstrukturerhebung (LSE) zu bestimmen. Auszugehen sei vom Zentralwert für die mit einfachen und repetitiven Aufgaben beschäftigten Männer. Aufgrund der verbleibenden eingeschränkten Gebrauchsmöglichkeiten der linken Hand auch in leichten Hilfsarbeitertätigkeiten rechtfertige es sich zudem, vom Tabellenlohn einen Abzug im Sinne von BGE 126 V 75 E. 5b/cc S. 80 in der Höhe von 20 % vorzunehmen. Der Beschwerdeführer betrachtet sich seinerseits als funktionell Einarmiger. Als solcher fielen für ihn jegliche Erwerbsmöglichkeiten in produktionsnahen Betrieben ausser Betracht; es seien daher nur einfache und repetitive Tätigkeiten im Dienstleistungssektor zu berücksichtigen. Zudem sei der Abzug vom Tabellenlohn auf den maximal zulässigen Wert von 25 % zu erhöhen.</w:t>
      </w:r>
    </w:p>
    <w:p>
      <w:r>
        <w:rPr>
          <w:b/>
        </w:rPr>
        <w:t>E. 3.4</w:t>
      </w:r>
    </w:p>
    <w:p>
      <w:r>
        <w:t>Ob der Beschwerdeführer tatsächlich als funktionell Einarmiger zu qualifizieren ist, kann offenbleiben. Die Gerichtspraxis geht davon aus, dass der ausgeglichene Arbeitsmarkt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Entgegen den Darlegungen des Beschwerdeführers wäre zudem auch bei einem funktionell Einarmigen der Abzug vom Tabellenlohn nicht zwingend auf 25 % zu erhöhen (vgl. Urteil 9C_418/2008 vom 17. September 2008 E. 3.3). Da die Frage nach der Höhe des Abzuges nach bundesgerichtlicher Rechtsprechung eine Ermessensfrage darstellt, deren Beantwortung einer bundesgerichtlichen Korrektur nur mehr dort zugänglich ist, wo das kantonale Gericht das Ermessen rechtsfehlerhaft ausgeübt hat ( BGE 132 V 393 E. 3.3 S. 399 - vgl. zur Anwendung dieser Rechtsprechung im Unfallversicherungsrecht auch Urteil 8C_902/2009 vom 1. April 2010 E. 5.2), müsste es selbst dann, wenn der Beschwerdeführer als Einarmiger anerkannt würde, beim vorinstanzlichen Abzug sein Bewenden haben.</w:t>
      </w:r>
    </w:p>
    <w:p>
      <w:r>
        <w:rPr>
          <w:b/>
        </w:rPr>
        <w:t>E. 3.5</w:t>
      </w:r>
    </w:p>
    <w:p>
      <w:r>
        <w:t>Ist somit weder die vorinstanzliche Bemessung des Validen- noch jene des Invalideneinkommens zu beanstanden, so besteht der kantonale Gerichtsentscheid zu Recht; die Beschwerde des Versicherten ist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