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8C_1009/2009 vom 4. Mai 2010</w:t>
      </w:r>
    </w:p>
    <w:p>
      <w:r>
        <w:t>Bundesgericht, 2010-05-04, DE</w:t>
      </w:r>
    </w:p>
    <w:p>
      <w:r>
        <w:rPr>
          <w:b/>
        </w:rPr>
        <w:t xml:space="preserve">Quelle: </w:t>
      </w:r>
      <w:r>
        <w:t>https://mcp.opencaselaw.ch/entscheid/bger_8C_1009_2009</w:t>
      </w:r>
    </w:p>
    <w:p>
      <w:r>
        <w:t>FR: TF 8C_1009/2009 du 4 mai 2010</w:t>
      </w:r>
    </w:p>
    <w:p>
      <w:r>
        <w:t>IT: TF 8C_1009/2009 del 4 maggio 2010</w:t>
      </w:r>
    </w:p>
    <w:p>
      <w:pPr>
        <w:pStyle w:val="Heading2"/>
      </w:pPr>
      <w:r>
        <w:t>Erwägungen</w:t>
      </w:r>
    </w:p>
    <w:p>
      <w:r>
        <w:rPr>
          <w:b/>
        </w:rPr>
        <w:t>E. 1</w:t>
      </w:r>
    </w:p>
    <w:p>
      <w:r>
        <w:t>Die Beschwerde in öffentlich-rechtlichen Angelegenheiten kann wegen Rechtsverletzungen gemäss den Art. 95 und 96 BGG erhoben werden. Im Beschwerdeverfahren um die Zusprechung oder Verweigerung von Geldleistungen der Militär- oder der Unfallversicherung ist das Bundesgericht nicht an die vorinstanzliche Feststellung des rechtserheblichen Sachverhalts gebunden ( Art. 97 Abs. 2 und Art. 105 Abs. 3 BGG ). Es wendet das Recht von Amtes wegen an ( Art. 106 Abs. 1 BGG ) und ist folglich weder an die in der Beschwerde geltend gemachten Argumente noch an die Erwägungen der Vorinstanz gebunden (vgl. BGE 132 II 257 E. 2.5 S. 262; 130 III 136 E. 1.4 S. 140). Unter Berücksichtigung der für Beschwerden bestehenden allgemeinen Begründungspflicht ( Art. 42 Abs. 1 und 2 BGG ) prüft es indessen grundsätzlich nur die geltend gemachten Rügen, sofern die rechtlichen Mängel nicht geradezu offensichtlich sind. Es ist jedenfalls nicht gehalten, wie eine erstinstanzliche Behörde alle sich stellenden rechtlichen Fragen zu untersuchen, wenn diese letztinstanzlich nicht mehr aufgegriffen werden ( BGE 133 II 249 E. 1.4.1 S. 254).</w:t>
      </w:r>
    </w:p>
    <w:p>
      <w:r>
        <w:rPr>
          <w:b/>
        </w:rPr>
        <w:t>E. 2</w:t>
      </w:r>
    </w:p>
    <w:p>
      <w:r>
        <w:t>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U 180/93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2009 UV Nr. 3 S. 9 8C_354/2007, E. 2.2). 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8C_963/2009 vom 10. März 2010 E. 2.1).</w:t>
      </w:r>
    </w:p>
    <w:p>
      <w:r>
        <w:rPr>
          <w:b/>
        </w:rPr>
        <w:t>E. 3</w:t>
      </w:r>
    </w:p>
    <w:p>
      <w:r>
        <w:t>Streitig ist, ob die Anspruchsvoraussetzungen für Leistungen der Unfallversicherung in Bezug auf die geltend gemachten Rückenbeschwerden ab dem 1. Juni 2008 noch vorhanden sind. Zu prüfen ist dabei das Vorliegen eines Kausalzusammenhangs zwischen dem Unfallereignis vom 26. Februar 2006 und den geklagten Rückenbeschwerden.</w:t>
      </w:r>
    </w:p>
    <w:p>
      <w:r>
        <w:rPr>
          <w:b/>
        </w:rPr>
        <w:t>E. 3.1.1</w:t>
      </w:r>
    </w:p>
    <w:p>
      <w:r>
        <w:t>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Eidg. Versicherungsgerichts U 354/04 vom 11. April 2005 E. 2.2, mit Hinweisen auf die medizinische Literatur; vgl. diesbezüglich auch neuere Urteile 8C_523/2009 vom 1. Oktober 2009 E. 2.2, 8C_346/2008 vom 11. November 2008 E. 3.2 und 8C_412/2008 vom 3. November 2008 E. 5.1).</w:t>
      </w:r>
    </w:p>
    <w:p>
      <w:r>
        <w:rPr>
          <w:b/>
        </w:rPr>
        <w:t>E. 3.1.2</w:t>
      </w:r>
    </w:p>
    <w:p>
      <w:r>
        <w:t>Die Hausärztin Dr. med. G._______ und die Ärzte der Klinik Y.________ wiesen in ihren Berichten vom 29. September 2006 und 15. November 2006 auf eine bereits zehn Jahre vor dem Unfallereignis vom 26. Februar 2006 erlittene Diskushernie L5/S1 des Beschwerdeführers hin. Die Hausärztin reichte hierzu mit Schreiben vom 29. Juni 2006 Röntgenaufnahmen der Lendenwirbelsäule (LWS) vom 10. Juni 1996 und CT-Aufnahmen der LWS vom 7. November 1997 ein. Nach dem Unfallereignis vom 26. Februar 2006 wurde im Bericht des Spitals B.________ vom 28. Juli 2006 zunächst ein chronisches lumboradikuläres Reiz- und sensibles Ausfallsyndrom L5 rechts bei medio-rechtslateraler, nach kaudal luxierter Diskushernie L4/5 mit recessaler Beeinträchtigung der Nervenwurzel L5 rechts diagnostiziert. Im Austrittsbericht der Klinik Y.________ vom 15. November 2006 bestätigten die Ärzte dann noch ein fragliches lumboradikuläres Reizsyndrom L5 rechts ohne Ausfallsymptomatik. Ca. ein Jahr nach dem Unfallereignis hielt Dr. med. W.________ in der kreisärztlichen Untersuchung vom 7. März 2007 fest, Beschwerden im lumbosacralen Übergang seien noch denkbar, jedoch schlecht bis gar nicht mit dem Röntgenbefund korrelierend. Jedenfalls ergäben sich keine harten Kriterien für ein Radiculärsyndrom. In der abschliessenden kreisärztlichen Untersuchung vom 7. April 2008, über zwei Jahre nach dem Unfallereignis, diagnostizierte Dr. med. W.________ schliesslich noch ein discogenes Lumbovertebralsyndrom bei degenerativen Veränderungen L4/5 sowie lumbosacral, und gab an, die Rückenkontusion vom 26. Februar 2006 sei auskuriert, nachdem keine strukturellen Schäden verursacht worden seien.</w:t>
      </w:r>
    </w:p>
    <w:p>
      <w:r>
        <w:rPr>
          <w:b/>
        </w:rPr>
        <w:t>E. 3.1.3</w:t>
      </w:r>
    </w:p>
    <w:p>
      <w:r>
        <w:t>Der von Dr. med. W.________ festgestellte abschliessende Befund einer degenerativen Veränderung ohne strukturelle Schäden stimmt mit der dargelegten medizinischen Erfahrungstatsache bei Diskushernien (E. 3.1.1 hievor) überein. Auch auf Berichte versicherungsinterner Ärzte kann rechtsprechungsgemäss abgestellt werden, wenn keine Zweifel an der Zuverlässigkeit ihrer Schlussfolgerungen bestehen ( BGE 135 V 465 E. 4.7 S. 471). Solche liegen nicht vor. Die in den übrigen Arztberichten beschriebene Entwicklung der objektiv begründeten Beschwerden entspricht ebenfalls den Erfahrungswerten bei posttraumatisch ausgelösten Rückenbeschwerden. Spätestens zum Zeitpunkt der abschliessenden kreisärztlichen Untersuchung vom 7. April 2008 muss nach dem Gesagten der Status quo sine der durch das Unfallereignis ausgelösten Rückenbeschwerden überwiegend wahrscheinlich angenommen werden. Das in den verschiedenen Arztberichten erwähnte, ausgeprägte Symptomausweitungsverhalten stellt nach Beurteilung der psychiatrischen Fachärzte der Klinik Y.________ keine psychische Störung von Krankheitswert dar. Die Beschwerdegegnerin erbrachte bis 31. Mai 2008 die gesetzlichen Leistungen auch für die geklagten Rückenbeschwerden. Die anschliessende Nichtberücksichtigung der Rückenbeschwerden bei der Zusprache der Invalidenrente und bei der Integritätsentschädigung erweist sich somit als rechtens. Auf ein beantragtes polydisziplinäres Gutachten zur weiteren Abklärung der Rückenbeschwerden kann unter diesen Voraussetzungen in antizipierter Beweiswürdigung verzichtet werden. Die Beschwerde ist demgemäss abzuweisen.</w:t>
      </w:r>
    </w:p>
    <w:p>
      <w:r>
        <w:rPr>
          <w:b/>
        </w:rPr>
        <w:t>E. 4</w:t>
      </w:r>
    </w:p>
    <w:p>
      <w:r>
        <w:t>Das Verfahren ist kostenpflichtig (Art. 65 Abs. 1 und Abs. 4 lit. a BGG). Die Gerichtskosten werden dem unterliegenden Beschwerdeführer auferlegt ( Art. 66 Abs. 1 BGG ). Dem Gesuch um unentgeltliche Rechtspflege (im Sinne der vorläufigen Befreiung von den Gerichtskosten und der unentgeltlichen Rechtsvertretung) kann entsprochen werden, da die entsprechenden Voraussetzungen erfüllt sind ( Art. 64 Abs. 1 und 2 BGG ; BGE 125 V 201 E. 4a S. 202).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