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1007/2010 vom 9. Mai 2011</w:t>
      </w:r>
    </w:p>
    <w:p>
      <w:r>
        <w:t>Bundesgericht, 2011-05-09, DE</w:t>
      </w:r>
    </w:p>
    <w:p>
      <w:r>
        <w:rPr>
          <w:b/>
        </w:rPr>
        <w:t xml:space="preserve">Quelle: </w:t>
      </w:r>
      <w:r>
        <w:t>https://mcp.opencaselaw.ch/entscheid/bger_8C_1007_2010</w:t>
      </w:r>
    </w:p>
    <w:p>
      <w:r>
        <w:t>FR: TF 8C 1007/2010 du 9 mai 2011</w:t>
      </w:r>
    </w:p>
    <w:p>
      <w:r>
        <w:t>IT: TF 8C 1007/2010 del 9 maggio 2011</w:t>
      </w:r>
    </w:p>
    <w:p>
      <w:pPr>
        <w:pStyle w:val="Heading2"/>
      </w:pPr>
      <w:r>
        <w:t>Regeste</w:t>
      </w:r>
    </w:p>
    <w:p>
      <w:r>
        <w:t>Invalidenversicherung (Invalidenrente)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255).</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8C_500/2010 vom 5. Januar 2011 E. 4.1 mit Hinweis). Der unaufgefordert und nachträglich eingereichte Bericht der Frau Prof. Dr. med. W._________ vom 29. März 2011 ist ein unzulässiges Novum im dargelegten Sinne. Auf ihn ist in der Folge nicht weiter einzugehen.</w:t>
      </w:r>
    </w:p>
    <w:p>
      <w:r>
        <w:rPr>
          <w:b/>
        </w:rPr>
        <w:t>E. 3</w:t>
      </w:r>
    </w:p>
    <w:p>
      <w:r>
        <w:t>Die IV-Stelle hatte in ihren Verfügungen vom 8. November 2007 die Zusprechung einer Invalidenrente bis zum 31. Oktober 2006 befristet und einen weitergehenden Anspruch gestützt auf die im Gutachten des medizinischen Zentrums X.________ vom 23. Oktober 2006 attestierte zumutbare Arbeitsfähigkeit von 80 % in einer angepassten Tätigkeit abgelehnt. Das Bundesgericht hat mit Urteil 8C_271/2009 vom 1. Oktober 2009 die Sache zur weiteren Abklärung und neuem Entscheid über den Anspruch auf eine Invalidenrente nach dem 1. November 2006 an die Vorinstanz zurückgewiesen. Streitig ist somit nur noch der Anspruch ab 1. November 2006.</w:t>
      </w:r>
    </w:p>
    <w:p>
      <w:r>
        <w:rPr>
          <w:b/>
        </w:rPr>
        <w:t>E. 4</w:t>
      </w:r>
    </w:p>
    <w:p>
      <w:r>
        <w:t>Die Versicherte rügt eine Verletzung des rechtlichen Gehörs ( Art. 29 Abs. 2 BV ) infolge grundsätzlicher Nichtbeachtung des Berichts des Dr. med. M.________ vom 27. April 2010, eine Verletzung des Untersuchungsgrundsatzes ( Art. 61 lit. c ATSG ) infolge Nichtbeachtung der Aussagen des Dr. med. M.________ in seinem Bericht vom 27. April 2010 über den Gesundheitszustand der Versicherten bis zum Erlass der strittigen Verwaltungsverfügungen sowie eine willkürliche Beweiswürdigung ( Art. 9 BV ) infolge einseitiger Gewichtung der beiden Gutachten.</w:t>
      </w:r>
    </w:p>
    <w:p>
      <w:r>
        <w:rPr>
          <w:b/>
        </w:rPr>
        <w:t>E. 5</w:t>
      </w:r>
    </w:p>
    <w:p>
      <w:r>
        <w:t>Entgegen der Ansicht der Vorinstanz hat das Bundesgericht die Sache nicht gestützt auf einen als offensichtlich unrichtig erachteten Sachverhalt im Sinne von Art. 97 Abs. 1 in Verbindung mit Art. 105 Abs. 2 BGG zurückgewiesen, sondern weil es eine rechtsfehlerhafte und damit bundesrechtswidrige Beweiswürdigung feststellte, indem die Vorinstanz in ihrem Entscheid vom 12. Februar 2009 ungenügend begründete, weshalb das Gutachten des medizinischen Zentrums X.________ inhaltlich überzeugender sei als das formell gleichwertige Gutachten der medizinischen Gutachtenstelle Y.________.</w:t>
      </w:r>
    </w:p>
    <w:p>
      <w:r>
        <w:rPr>
          <w:b/>
        </w:rPr>
        <w:t>E. 6.1</w:t>
      </w:r>
    </w:p>
    <w:p>
      <w:r>
        <w:t>Der verfassungsmässige Anspruch auf rechtliches Gehör ( Art. 29 Abs. 2 BV ) umfasst das Recht des Betroffenen, sich vor Erlass eines in seine Rechtsstellung eingreifenden Aktes zur Sache äussern zu können. Er verlangt von der Behörde, dass sie seine Vorbringen tatsächlich hört, sorgfältig und ernsthaft prüft und in ihrer Entscheidfindung angemessen berücksichtigt. Dies gilt für alle form- und fristgerechten Äusserungen, Eingaben und Anträge, die zur Klärung der konkreten Streitfrage geeignet und erforderlich erscheinen ( BGE 136 I 184 E. 2.2.1 S. 188; 135 III 670 E. 3.3.1 S. 677).</w:t>
      </w:r>
    </w:p>
    <w:p>
      <w:r>
        <w:rPr>
          <w:b/>
        </w:rPr>
        <w:t>E. 6.2</w:t>
      </w:r>
    </w:p>
    <w:p>
      <w:r>
        <w:t>Die Vorinstanz hat unter Beachtung des Anspruchs auf rechtliches Gehör der Versicherten die Möglichkeit zur Vernehmlassung zur Stellungnahme des medizinischen Zentrums X.________ vom 19. Februar 2010 eingeräumt. Allerdings hat sie das von der Versicherten im Rahmen dieser Vernehmlassung eingereichte Beweismittel, den Bericht des Dr. med. M.________ vom 27. April 2010, nicht berücksichtigt.</w:t>
      </w:r>
    </w:p>
    <w:p>
      <w:r>
        <w:rPr>
          <w:b/>
        </w:rPr>
        <w:t>E. 6.3</w:t>
      </w:r>
    </w:p>
    <w:p>
      <w:r>
        <w:t>Mit der Aufhebung des vorinstanzlichen Entscheids und Rückweisung zur erneuten Abklärung und Entscheidung in der Sache für allfällige Leistungen nach dem 1. November 2006 ist das Verfahren vor der Vorinstanz bezüglich der noch offenen Fragen wieder in jenen Zustand zurückversetzt worden, in welchem es sich vor dem Entscheid vom 12. Februar 2009 befand. Somit gelten auch die Verfahrensregeln von Art. 61 ATSG , einschliesslich des Untersuchungsgrundsatzes gemäss lit. c, wieder. Gemäss dem kantonalen Verfahrensrecht hat das Sozialversicherungsgericht auch unaufgefordert in einem späteren Verfahrensstadium eingereichte Beweismittel auf Grund des Untersuchungsgrundsatzes von Amtes wegen zu berücksichtigen, wenn sie zur Feststellung des rechtlich erheblichen Sachverhalts beizutragen vermögen (ZÜND/PFIFFNER RAUBER [Hrsg.], Gesetz über das Sozialversicherungsgericht des Kantons Zürich, 2. Aufl., N. 5 zu § 18a GSVGer; vgl. auch N. 18 zu § 18 GSVGer). Dementsprechend wäre die Vorinstanz gehalten gewesen, den Bericht des Dr. med. M.________ vom 27. April 2010, soweit er sich zum massgebenden Sachverhalt, d.h. zu Begebenheiten in der Zeit bis zum 8. November 2007 äussert, in ihre Entscheidfindung miteinzubeziehen oder aber zu begründen, weshalb dieser den Anforderungen an einen ärztlichen Bericht nicht entspricht. Die Vorinstanz hält diesbezüglich lediglich fest, aus dem einverlangten Bericht des Dr. med. M.________ lasse sich schliessen, dass die IV-Stelle daran sei, den Sachverhalt, soweit dieser in die vorliegend nicht mehr zu beurteilende Zeit falle, abzuklären. Diese Ausführungen halten im Rahmen des nach Art. 61 lit. c ATSG geltenden Untersuchungsgrundsatzes nicht stand.</w:t>
      </w:r>
    </w:p>
    <w:p>
      <w:r>
        <w:rPr>
          <w:b/>
        </w:rPr>
        <w:t>E. 7.1</w:t>
      </w:r>
    </w:p>
    <w:p>
      <w:r>
        <w:t>Dr. med. M.________ begründete die in seinem von der IV-Stelle einverlangten Bericht vom 27. April 2010 attestierte volle Arbeitsunfähigkeit in der angestammten Tätigkeit als Bankangestellte mit einer seit dem Suizidversuch von 1987 bestehenden bipolaren Störung, zzt. manisch (ICD-10: F 31.1), einem seit 2006/07 vorliegenden Alkoholismus (ICD-10: F 10.2), einem seit Jahren andauernden Abhängigkeitssyndrom (NSAR; ICD-10: F 55.2) sowie dem Status nach HWS-Distorsionstraumata in den Jahren 1994, 2004 und 2006 (ICD-10: F 54); infolge der depressiven und manischen Phasen bestehe in einer angepassten Tätigkeit seit April resp. Juni 2007 eine Arbeitsfähigkeit von 20 %. Bei medikamentöser Stabilisierung der bipolaren Störung sei die Arbeitsfähigkeit in der angepassten Tätigkeit als Podologin steigerbar. Er habe die Versicherte bereits in den Jahren 1992/93 sowie von 1994 bis 1999 behandelt. Nach einem längeren Unterbruch sei sie seit April 2007 wieder bei ihm in Behandlung. Dr. med. M.________ gibt eine ausführliche familiäre und medizinische Anamnese seit den Achtzigerjahren wieder. Auch legt er einlässlich seine seit Wiederaufnahme der Behandlung festgestellten Befunde und Beschwerden dar. Weiter nennt er die ihm zur Verfügung gestandenen medizinischen Akten.</w:t>
      </w:r>
    </w:p>
    <w:p>
      <w:r>
        <w:rPr>
          <w:b/>
        </w:rPr>
        <w:t>E. 7.2</w:t>
      </w:r>
    </w:p>
    <w:p>
      <w:r>
        <w:t>Ob bezüglich der Beurteilung der psychischen Beschwerden auf den Bericht des Dr. med. M.________ abzustellen ist, kann offen bleiben. Er ist zumindest geeignet, Zweifel an der psychiatrischen Einschätzung gemäss dem Gutachten des medizinischen Zentrums X.________ zu wecken. Die Vorinstanz legt in ihrem Entscheid vom 15. Oktober 2010 erneut nicht dar, weshalb das Gutachten des medizinischen Zentrums X.________ inhaltlich überzeugender sein soll als das Gutachten der medizinischen Gutachtenstelle Y.________, sondern verweist lediglich auf ihre entsprechenden Ausführungen im vom Bundesgericht aufgehobenen Entscheid vom 12. Februar 2009. Da, wie die Versicherte selbst einräumt, auch das Gutachten der medizinischen Gutachtenstelle Y.________ mit Fehlern behaftet ist, indem es die von ihm attestierte zumutbare Arbeitsfähigkeit unzureichend begründet, drängt sich die Einholung eines polydisziplinären Obergutachtens auf, welches Aufschluss über den seit 1. November 2006 massgebenden Gesundheitszustand zu geben hat. Somit ist die Vorinstanz in Aufhebung des Entscheids vom 15. Oktober 2010 anzuweisen, ein Obergutachten zur Klärung des Gesundheitszustandes der Versicherten nach dem 1. November 2006 einzuholen und erneut über den Anspruch auf eine Invalidenrente ab 1. November 2006 zu entscheiden. Dabei ist es unzulässig, die Einholung dieses Gutachtens an die IV-Stelle zu delegieren, wie dies das kantonale Gericht anscheinend bei der Einholung der Stellungnahme der Gutachter des medizinischen Zentrums X.________ - entgegen der Anweisung des Bundesgerichts - im Nachgang zum Urteil vom 1. Oktober 2009 getan hat. Denn nach der Rechtsprechung haben ein Gerichtsgutachten und ein von der Verwaltung eingeholtes Gutachten externer Spezialärzte im Rahmen der Beweiswürdigung nicht denselben Stellenwert ( BGE 125 V 351 E. 3b/aa S. 352 und E. 3b/bb S. 353, bestätigt mit BGE 134 V 231 E. 5.1 S. 232); unterschiedliche Bestimmungen gelten auch für die (verfahrensrechtliche) Stellung der Parteien und der Ärzte als Sachverständige ( Art. 44 ATSG für das Verwaltungsverfahren, § 28 lit. a des zürcherischen Gesetzes über das Sozialversicherungsgericht vom 7. März 1993 [GSVGer; 212.81] in Verbindung mit Art. 183 ff. der Schweizerischen Zivilprozessordnung vom 19. Dezember 2008 [Zivilprozessordnung, ZPO; SR 272] bezüglich des im kantonalen Verfahren angeordneten Gerichtsgutachtens; vgl. dazu auch BÜHLER, Der rechtliche Rahmen der medizinischen Begutachtung in der Schweiz, in: Murer [Hrsg.], Möglichkeiten und Grenzen der medizinischen Begutachtung, 2010, S. 29 ff.).</w:t>
      </w:r>
    </w:p>
    <w:p>
      <w:r>
        <w:rPr>
          <w:b/>
        </w:rPr>
        <w:t>E. 8.1</w:t>
      </w:r>
    </w:p>
    <w:p>
      <w:r>
        <w:t>Die Kosten eines von der versicherten Person veranlassten Gutachtens sind vom Versicherungsträger dann zu übernehmen, wenn sich der medizinische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(RKUV 2004 Nr. U 503 S. 186 ff. [U 282/00]).</w:t>
      </w:r>
    </w:p>
    <w:p>
      <w:r>
        <w:rPr>
          <w:b/>
        </w:rPr>
        <w:t>E. 8.2</w:t>
      </w:r>
    </w:p>
    <w:p>
      <w:r>
        <w:t>Die Versicherte beantragt erneut die Übernahme der Kosten des von ihr in Auftrag gegebenen Gutachtens der medizinischen Gutachtenstelle Y.________. Zwar ist der strittige medizinische Sachverhalt auch gestützt auf dieses Gutachten der medizinischen Gutachtenstelle Y.________ nicht schlüssig feststellbar; es war jedoch Anlass dafür, dass inhaltliche Zweifel am Gutachten des medizinischen Zentrums X.________ aufkamen, welche zu weiteren Abklärungen führten und somit eine Verletzung des der IV-Stelle (und der Vorinstanz) obliegenden Untersuchungsgrundsatzes ( Art. 43 Abs. 1 und Art. 61 lit. c ATSG ) offen legten. In Anbetracht der gesamten Umstände (paralleles Verfahren in der Invaliden- und obligatorischen Unfallversicherung; erneute Rückweisung zur Einholung eines Obergutachtens) hat die IV-Stelle der Versicherten die Hälfte der Kosten des Gutachtens der medizinischen Gutachtenstelle Y.________, d.h. Fr. 7'445.-, zurückzuerstatten.</w:t>
      </w:r>
    </w:p>
    <w:p>
      <w:r>
        <w:rPr>
          <w:b/>
        </w:rPr>
        <w:t>E. 9</w:t>
      </w:r>
    </w:p>
    <w:p>
      <w:r>
        <w:t>Das Verfahren ist kostenpflichtig. In der Regel sind die Gerichtskosten der unterliegenden Partei aufzuerlegen ( Art. 66 Abs. 1 BGG ). Gemäss Art. 66 Abs. 3 BGG hat derjenige unnötige Kosten zu tragen, der sie verursacht hat. Gestützt auf diese Norm können ausnahmsweise auch den Vorinstanzen bzw. dem Gemeinwesen, dem diese angehören, die Gerichtskosten auferlegt werden, namentlich wenn diese in qualifizierter Weise die Rechte einer Partei verletzen oder infolge einer falschen Rechtsmittelbelehrung einen überflüssigen Prozess provozieren (vgl. GEISER, in: Basler Kommentar, Bundesgerichtsgesetz, 2008, N. 25 zu Art. 66 BGG ). So richtet sich bei qualifizierter Verletzung der Pflicht zur Justizgewährleistung die Verlegung der Gerichtskosten und der Parteientschädigung nach dem Verursacherprinzip von Art. 66 Abs. 3 resp. Art. 68 Abs. 4 BGG (Urteil 9C_251/2009 vom 15. Mai 2009, E. 2.1 mit Hinweisen; vgl. zum Ganzen auch Urteil 8C_830/2009 vom 4. Januar 2010 E. 3.1). Der kantonale Entscheid wird zum zweiten Mal infolge (derselben) Verletzung der Regeln zur Beweiswürdigung aufgehoben. Somit rechtfertigt es sich, die Gerichtskosten ausnahmsweise der Vorinstanz resp. dem Kanton Zürich aufzuerlegen. Er hat zudem der obsiegenden Versicherten eine Parteientschädigung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