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8C_1004/2010 vom 29. Juni 2011</w:t>
      </w:r>
    </w:p>
    <w:p>
      <w:r>
        <w:t>Bundesgericht, 2011-06-29, FR</w:t>
      </w:r>
    </w:p>
    <w:p>
      <w:r>
        <w:rPr>
          <w:b/>
        </w:rPr>
        <w:t xml:space="preserve">Quelle: </w:t>
      </w:r>
      <w:r>
        <w:t>https://mcp.opencaselaw.ch/entscheid/bger_8C_1004_2010</w:t>
      </w:r>
    </w:p>
    <w:p>
      <w:r>
        <w:t>FR: TF 8C_1004/2010 du 29 juin 2011</w:t>
      </w:r>
    </w:p>
    <w:p>
      <w:r>
        <w:t>IT: TF 8C_1004/2010 del 29 giugno 2011</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133 V 515 consid. 1.3 p. 519; 130 III 136 consid. 1.4 p. 140).</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la question de savoir si la recourante a droit à l'indemnité de chômage à partir du 13 février 2010.</w:t>
      </w:r>
    </w:p>
    <w:p>
      <w:r>
        <w:rPr>
          <w:b/>
        </w:rPr>
        <w:t>E. 3</w:t>
      </w:r>
    </w:p>
    <w:p>
      <w:r>
        <w:t>La juridiction cantonale a retenu que la recourante avait travaillé pour une entreprise où son mari occupait une fonction dirigeante et qu'après son licenciement, elle n'avait pas oeuvré au minimum six mois auprès d'une entreprise tierce. Se fondant sur la jurisprudence, les premiers juges ont nié le droit de la recourante à l'indemnité de chômage.</w:t>
      </w:r>
    </w:p>
    <w:p>
      <w:r>
        <w:rPr>
          <w:b/>
        </w:rPr>
        <w:t>E. 4.1</w:t>
      </w:r>
    </w:p>
    <w:p>
      <w:r>
        <w:t>Dans un premier moyen, la recourante conteste que l' art. 31 al. 3 let . c LACI soit applicable aux employés dont les rapports de travail ont été résiliés. Pour elle, cette disposition légale ne concerne que l'indemnité pour réduction de l'horaire de travail.</w:t>
      </w:r>
    </w:p>
    <w:p>
      <w:r>
        <w:rPr>
          <w:b/>
        </w:rPr>
        <w:t>E. 4.2</w:t>
      </w:r>
    </w:p>
    <w:p>
      <w:r>
        <w:t>Selon l' art. 31 al. 3 let .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rPr>
          <w:b/>
        </w:rPr>
        <w:t>E. 4.3</w:t>
      </w:r>
    </w:p>
    <w:p>
      <w:r>
        <w:t>Dans l' ATF 123 V 234 ,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C 193/04 du 7 décembre 2004 in DTA 2005 p. 130;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(cf. THOMAS NUSSBAUMER, Arbeitslosenversicherung, in : Schweizerisches Bundesverwaltungsrecht [SBVR], 2° éd. 2007, p. 2315 n. 461).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4.4</w:t>
      </w:r>
    </w:p>
    <w:p>
      <w:r>
        <w:t>En l'espèce, ainsi que l'ont retenu les premiers juges, la recourante est l'épouse du président du conseil d'administration de X.________ SA, pour laquelle elle a travaillé jusqu'à fin août 2009. A l'évidence, les liens avec les organes de X.________ SA existent toujours objectivement. On doit admettre que cette société - dont le but, très large, est l'exploitation d'établissements publics - garde toujours la faculté de réengager la recourante de manière directe ou indirecte. Dans un tel contexte, la perte de travail n'est pas aisément vérifiable par la caisse, ce qui justifie de ne pas assimiler la recourante à une personne qui aurait définitivement quitté l'entreprise qui l'employait. La situation de la recourante entre incontestablement dans un des cas de figure visés par l' art. 31 al. 3 let . c LACI (pour des cas comparables cf. arrêt 8C_174/2010 du 30 juillet 2010 consid. 5 et les arrêts cités).</w:t>
      </w:r>
    </w:p>
    <w:p>
      <w:r>
        <w:t>Il s'ensuit que ce moyen doit être rejeté.</w:t>
      </w:r>
    </w:p>
    <w:p>
      <w:r>
        <w:rPr>
          <w:b/>
        </w:rPr>
        <w:t>E. 5.1</w:t>
      </w:r>
    </w:p>
    <w:p>
      <w:r>
        <w:t>La recourante fait grief à la juridiction cantonale d'avoir retenu « une présomption de mauvaise foi » à son encontre. Elle fait valoir que dans la mesure où il n'existe aucun signe d'abus potentiel, les premiers juges auraient dû admettre sa bonne foi et lui accorder les indemnités requises.</w:t>
      </w:r>
    </w:p>
    <w:p>
      <w:r>
        <w:rPr>
          <w:b/>
        </w:rPr>
        <w:t>E. 5.2</w:t>
      </w:r>
    </w:p>
    <w:p>
      <w:r>
        <w:t>La manière de voir de la recourante est erronée. En effet, la loi et la jurisprudence ( ATF 123 V 234 consid. 7b/bb p. 238) ne visent pas seulement les abus avérés mais aussi le risque d'abus que représente le versement d'indemnités à un travailleur jouissant d'une situation comparable à celle d'un employeur.</w:t>
      </w:r>
    </w:p>
    <w:p>
      <w:r>
        <w:t>En l'espèce, en sa qualité d'épouse du président du conseil d'administration de X.________ SA, la recourante réalise les conditions d'existence d'un risque d'abus et en conséquence son exclusion du droit à l'indemnité ne viole pas les art. 9 et 36 Cst.</w:t>
      </w:r>
    </w:p>
    <w:p>
      <w:r>
        <w:rPr>
          <w:b/>
        </w:rPr>
        <w:t>E. 6.1</w:t>
      </w:r>
    </w:p>
    <w:p>
      <w:r>
        <w:t>La recourante allègue que la décision cantonale est arbitraire et viole les art. 8 et 14 Cst. Elle considère que le fait de lui refuser des prestations, au motif qu'elle est mariée au président du conseil d'administration de X.________ SA, est discriminatoire par rapport à une personne qui se trouverait dans la même situation mais qui ne serait pas mariée.</w:t>
      </w:r>
    </w:p>
    <w:p>
      <w:r>
        <w:rPr>
          <w:b/>
        </w:rPr>
        <w:t>E. 6.2</w:t>
      </w:r>
    </w:p>
    <w:p>
      <w:r>
        <w:t>Ce grief n'est pas fondé. S'il est vrai que cette jurisprudence basée sur l' art. 31 al. 3 let . c LACI n'est pas applicable aux personnes qui entretiendraient des liens étroits avec leur employeur sans être mariées (par exemple un concubin), il n'en demeure pas moins que ce régime résulte de la loi qui exclut du droit à certaines prestations, le conjoint occupé dans l'entreprise d'une personne mentionnée à l' art. 31 al. 3 let . c LACI, lorsqu'il existe un risque de mise à contribution abusive de l'assurance. C'est ainsi qu'une clause d'exclusion identique à celle de l' art. 31 al. 3 let . c LACI figure - pour les mêmes motifs - aux art. 51 al. 2 LACI (indemnité en cas d'insolvabilité) et 42 al. 3 LACI (indemnité en cas d'intempéries). De plus, les personnes qui, sans être mariées, ont des liens personnels étroits avec leur employeur, ne sont pas forcément favorisées par rapport à des conjoints (cf. arrêt précité C 193/04 du 7 décembre 2004 in DTA 2005 p. 130).</w:t>
      </w:r>
    </w:p>
    <w:p>
      <w:r>
        <w:rPr>
          <w:b/>
        </w:rPr>
        <w:t>E. 7</w:t>
      </w:r>
    </w:p>
    <w:p>
      <w:r>
        <w:t>La recourante reproche encore à la juridiction cantonale d'avoir violé son droit d'être entendue garanti par l' art. 29 al. 2 Cst , en refusant l'administration des preuves qui permettaient, selon elle, d'établir l'absence d'abus.</w:t>
      </w:r>
    </w:p>
    <w:p>
      <w:r>
        <w:t>Ce moyen n'est pas plus fondé que les précédents. En effet, contrairement à ce qu'allègue la recourante, la preuve de l'existence d'un abus avéré n'exclut pas le risque d'abus qui est également pris en compte par la loi et la jurisprudence. Dès lors, l'existence ou l'absence d'abus n'est pas déterminante pour statuer sur l'affaire et la juridiction cantonale pouvait donc renoncer à administrer les preuves proposées par la recourante et statuer sans violer le droit d'être entendue de la recourante.</w:t>
      </w:r>
    </w:p>
    <w:p>
      <w:r>
        <w:rPr>
          <w:b/>
        </w:rPr>
        <w:t>E. 8</w:t>
      </w:r>
    </w:p>
    <w:p>
      <w:r>
        <w:t>Enfin, celle-ci considère que l'obligation faite à un employé de travailler au moins six mois pour le compte d'une entreprise tierce après avoir été licencié par l'entreprise où il occupait une situation comparable à celle d'un employeur, est arbitraire. Elle reproche à ce délai d'être « trop abstrait ».</w:t>
      </w:r>
    </w:p>
    <w:p>
      <w:r>
        <w:t>On peut se demander si cette motivation est suffisante au regard de l'obligation faite par l' art. 106 al. 2 LTF de motiver la violation des droits fondamentaux.</w:t>
      </w:r>
    </w:p>
    <w:p>
      <w:r>
        <w:t>Quoi qu'il en soit, la recourante ne saurait contester sérieusement l'application à son cas de la jurisprudence découlant des arrêts 8C_81/2009 du 27 août 2009 consid. 4 in SVR 2009 ALV n° 11 p. 38 sv., C 151/06 du 20 février 2007 consid. 3, C 171/03 du 31 mars 2004 consid. 2.3 in SVR 2004 ALV n° 15 p. 47. On ajoutera que cette période de six mois se retrouve à l' art. 37 al. 4 let. a OACI (où le gain assuré est redéfini pour la période de contrôle suivante si pendant le délai-cadre d'indemnisation, l'assuré a exercé pendant au moins six mois consécutifs avant de retomber au chômage une activité soumise à cotisation pour laquelle il a reçu un salaire supérieur au gain assuré). C'est dire que le délai de six mois institué par la jurisprudence précitée s'inscrit parfaitement dans le système de l'assurance-chômage.</w:t>
      </w:r>
    </w:p>
    <w:p>
      <w:r>
        <w:rPr>
          <w:b/>
        </w:rPr>
        <w:t>E. 9</w:t>
      </w:r>
    </w:p>
    <w:p>
      <w:r>
        <w:t>Au vu de ce qui précède, le recours doit être rejeté.</w:t>
      </w:r>
    </w:p>
    <w:p>
      <w:r>
        <w:t>Compte tenu de l'issue du litige, les frais judiciaires doivent être supportés par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