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8C_1000/2009 vom 5. Dezember 2009</w:t>
      </w:r>
    </w:p>
    <w:p>
      <w:r>
        <w:t>Bundesgericht, 2009-12-05, DE</w:t>
      </w:r>
    </w:p>
    <w:p>
      <w:r>
        <w:rPr>
          <w:b/>
        </w:rPr>
        <w:t xml:space="preserve">Quelle: </w:t>
      </w:r>
      <w:r>
        <w:t>https://mcp.opencaselaw.ch/entscheid/bger_8C_1000_2009</w:t>
      </w:r>
    </w:p>
    <w:p>
      <w:r>
        <w:t>FR: TF 8C_1000/2009 du 5 décembre 2009</w:t>
      </w:r>
    </w:p>
    <w:p>
      <w:r>
        <w:t>IT: TF 8C_1000/2009 del 5 dicembre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8C_1000/2009</w:t>
      </w:r>
    </w:p>
    <w:p>
      <w:r>
        <w:t>Urteil vom 5. Dezember 2009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Grünvogel.</w:t>
      </w:r>
    </w:p>
    <w:p>
      <w:r>
        <w:t>Parteien</w:t>
      </w:r>
    </w:p>
    <w:p>
      <w:r>
        <w:t>B.________,</w:t>
      </w:r>
    </w:p>
    <w:p>
      <w:r>
        <w:t>Beschwerdeführerin,</w:t>
      </w:r>
    </w:p>
    <w:p>
      <w:r>
        <w:t>gegen</w:t>
      </w:r>
    </w:p>
    <w:p>
      <w:r>
        <w:t>Amt für Industrie, Gewerbe und Arbeit Graubünden, Grabenstrasse 9, 7000 Chur,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Graubünden</w:t>
      </w:r>
    </w:p>
    <w:p>
      <w:r>
        <w:t>vom 14. Oktober 2009.</w:t>
      </w:r>
    </w:p>
    <w:p>
      <w:r>
        <w:t>Nach Einsicht</w:t>
      </w:r>
    </w:p>
    <w:p>
      <w:r>
        <w:t>in die Beschwerde vom 26. November 2009 (Poststempel) gegen den Nichteintretensentscheid des Verwaltungsgerichts des Kantons Graubünden vom 14. Oktober 2009,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Bestimmungen von Art. 95 ff. BGG die vor Bundesgericht zulässigen Beschwerdegründe nennt,</w:t>
      </w:r>
    </w:p>
    <w:p>
      <w:r>
        <w:t>dass die Begründung überdies sachbezogen sein muss, d.h. sich mit den Erwägungen des angefochtenen Entscheids, die für dessen Ergebnis ausschlaggebend sind, auseinander zu setzen hat; wird ein Nichteintretensentscheid angefochten, ist in der Beschwerdebegründung auf den von der Vorinstanz herangezogenen Nichteintretensgrund einzugehen (vgl. BGE 123 V 335 ; 118 Ib 134 ; ARV 2002 Nr. 7 S. 61 E. 2),</w:t>
      </w:r>
    </w:p>
    <w:p>
      <w:r>
        <w:t>dass das Verwaltungsgericht auf die Beschwerde nicht eingetreten ist, weil es sie, in Berücksichtigung der einschlägigen verfahrensrechtlichen Normen, für verspätet erachtete,</w:t>
      </w:r>
    </w:p>
    <w:p>
      <w:r>
        <w:t>dass die Beschwerdeführerin mit keinem Wort aufzeigt, inwiefern diese für das Ergebnis des angefochtenen Entscheids massgebliche Erwägung im Sinn von Art. 95 BGG rechts- bzw. verfassungswidrig sein soll,</w:t>
      </w:r>
    </w:p>
    <w:p>
      <w:r>
        <w:t>dass es dergestalt offensichtlich an einer hinreichenden Beschwerdebegründung fehlt, weshalb über die Beschwerde im vereinfachten Verfahren nach Art. 108 Abs. 1 lit. b BGG entschieden werden kann,</w:t>
      </w:r>
    </w:p>
    <w:p>
      <w:r>
        <w:t>dass die Beschwerdeführerin entsprechend dem Ausgang des Verfahrens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der Beschwerdeführerin auferlegt.</w:t>
      </w:r>
    </w:p>
    <w:p>
      <w:r>
        <w:t>3.</w:t>
      </w:r>
    </w:p>
    <w:p>
      <w:r>
        <w:t>Dieses Urteil wird den Parteien, dem Verwaltungsgericht des Kantons Graubünden, Kammer 2 als Versicherungsgericht, und dem Staatssekretariat für Wirtschaft schriftlich mitgeteilt.</w:t>
      </w:r>
    </w:p>
    <w:p>
      <w:r>
        <w:t>Luzern, 5. Dezember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