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7G_1/2026 vom 25. März 2026</w:t>
      </w:r>
    </w:p>
    <w:p>
      <w:r>
        <w:t>Bundesgericht, 2026-03-25, DE</w:t>
      </w:r>
    </w:p>
    <w:p>
      <w:r>
        <w:rPr>
          <w:b/>
        </w:rPr>
        <w:t xml:space="preserve">Quelle: </w:t>
      </w:r>
      <w:r>
        <w:t>https://mcp.opencaselaw.ch/entscheid/bger_7G_1_2026</w:t>
      </w:r>
    </w:p>
    <w:p>
      <w:r>
        <w:t>FR: TF 7G_1/2026 du 25 mars 2026</w:t>
      </w:r>
    </w:p>
    <w:p>
      <w:r>
        <w:t>IT: TF 7G_1/2026 del 25 marzo 2026</w:t>
      </w:r>
    </w:p>
    <w:p>
      <w:pPr>
        <w:pStyle w:val="Heading2"/>
      </w:pPr>
      <w:r>
        <w:t>Erwägungen</w:t>
      </w:r>
    </w:p>
    <w:p>
      <w:r>
        <w:rPr>
          <w:b/>
        </w:rPr>
        <w:t>E. 1</w:t>
      </w:r>
    </w:p>
    <w:p>
      <w:r>
        <w:t>Mit Urteil vom 26. Januar 2026 (7B_1356/2025) ist das Bundesgericht auf die von A.________ gegen den Beschluss des Obergerichts des Kantons Zürich, III. Strafkammer, vom 24. November 2025 eingereichte Beschwerde nicht eingetreten (Dispositiv-Ziffer 1). Es hat die Gerichtskosten von Fr. 500.-- dem Beschwerdeführer auferlegt (Dispositiv-Ziffer 2) und das Urteil dem Beschwerdeführer, dem Bezirksgericht Dietikon und dem Obergericht des Kantons Zürich, III. Strafkammer, schriftlich mitgeteilt (Dispositiv-Ziffer 3).</w:t>
      </w:r>
    </w:p>
    <w:p>
      <w:r>
        <w:rPr>
          <w:b/>
        </w:rPr>
        <w:t>E. 2</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3</w:t>
      </w:r>
    </w:p>
    <w:p>
      <w:r>
        <w:t>Das Rubrum sowie Dispositiv-Ziffer 3 des Urteils vom 26. Januar 2026 enthalten einen redaktionellen Fehler, da darin das Bezirksgericht Dietikon erwähnt wird, während es sich in Wirklichkeit um das Bezirksgericht Dielsdorf handeln muss. Das Rubrum sowie Dispositiv-Ziffer 3 sind daher von Amts wegen entsprechend zu berichtigen.</w:t>
      </w:r>
    </w:p>
    <w:p>
      <w:r>
        <w:t>Das vorliegende Urteil wird ohne Kosten und ohne vorherige formelle Anhörung der Parteien erlassen, da sich deren Rechtslage durch die einfache Berichtigung von Rubrum und Dispositiv nicht 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