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7F_8/2025 vom 12. Juni 2025</w:t>
      </w:r>
    </w:p>
    <w:p>
      <w:r>
        <w:t>Bundesgericht, 2025-06-12, DE</w:t>
      </w:r>
    </w:p>
    <w:p>
      <w:r>
        <w:rPr>
          <w:b/>
        </w:rPr>
        <w:t xml:space="preserve">Quelle: </w:t>
      </w:r>
      <w:r>
        <w:t>https://mcp.opencaselaw.ch/entscheid/bger_7F_8_2025</w:t>
      </w:r>
    </w:p>
    <w:p>
      <w:r>
        <w:t>FR: TF 7F_8/2025 du 12 juin 2025</w:t>
      </w:r>
    </w:p>
    <w:p>
      <w:r>
        <w:t>IT: TF 7F_8/2025 del 12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ersuchte am 20. Februar 2025 um Revision des Urteils des Bundesgerichts 7B_1169/2024 vom 30. Dezember 2024. Mit Schreiben vom 21. März 2025 teilte er mit, dass eine isolierte Behandlung von 7F_8/2025 keinen Sinn ergebe, weshalb er sein Gesuch zurückziehe. Mit Schreiben vom 4. Juni 2025 forderte das Bundesgericht A.________ auf, den Rückzug seines Revisionsgesuchs ausdrücklich zu erklären. Dies tat er durch den Vermerk "Rücktritt" auf dem Schreiben des Bundesgerichts vom 4. Juni 2025.</w:t>
      </w:r>
    </w:p>
    <w:p>
      <w:r>
        <w:rPr>
          <w:b/>
        </w:rPr>
        <w:t>E. 2</w:t>
      </w:r>
    </w:p>
    <w:p>
      <w:r>
        <w:t>Mit dem Rückzug des Revisionsgesuchs wird das Verfahren gegenstandslos und ist im Verfahren nach Art. 32 Abs. 2 BGG als erledigt abzuschreiben.</w:t>
      </w:r>
    </w:p>
    <w:p>
      <w:r>
        <w:rPr>
          <w:b/>
        </w:rPr>
        <w:t>E. 3</w:t>
      </w:r>
    </w:p>
    <w:p>
      <w:r>
        <w:t>Der Gesuchsteller, der seine Eingabe zurückgezogen und damit das Dahinfallen des Verfahrens verursacht hat, hat für die bisher entstandenen bundesgerichtlichen Kosten aufzukommen ( Art. 66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